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R4-2</w:t>
      </w:r>
      <w:r>
        <w:rPr>
          <w:rFonts w:hint="eastAsia" w:eastAsia="宋体"/>
          <w:b/>
          <w:sz w:val="24"/>
          <w:szCs w:val="24"/>
          <w:highlight w:val="none"/>
          <w:lang w:val="en-US" w:eastAsia="zh-CN"/>
        </w:rPr>
        <w:t>506611</w:t>
      </w:r>
      <w:bookmarkStart w:id="9" w:name="_GoBack"/>
      <w:bookmarkEnd w:id="9"/>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23</w:t>
      </w:r>
      <w:r>
        <w:rPr>
          <w:rFonts w:hint="eastAsia" w:ascii="Times New Roman" w:hAnsi="Times New Roman"/>
          <w:sz w:val="22"/>
          <w:highlight w:val="none"/>
        </w:rPr>
        <w:t>.</w:t>
      </w:r>
      <w:r>
        <w:rPr>
          <w:rFonts w:hint="eastAsia" w:ascii="Times New Roman" w:hAnsi="Times New Roman"/>
          <w:sz w:val="22"/>
          <w:highlight w:val="none"/>
          <w:lang w:val="en-US" w:eastAsia="zh-CN"/>
        </w:rPr>
        <w:t>3.1</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RAN4 impacts for RRM measurement prediction</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S</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[1]. 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18A7EA0D">
            <w:pPr>
              <w:widowControl w:val="0"/>
              <w:numPr>
                <w:ilvl w:val="0"/>
                <w:numId w:val="3"/>
              </w:numPr>
              <w:overflowPunct/>
              <w:autoSpaceDE/>
              <w:autoSpaceDN/>
              <w:adjustRightInd/>
              <w:spacing w:after="0"/>
              <w:ind w:hanging="357"/>
              <w:jc w:val="both"/>
              <w:textAlignment w:val="auto"/>
              <w:rPr>
                <w:rFonts w:hint="default" w:ascii="Times New Roman" w:hAnsi="Times New Roman" w:cs="Times New Roman"/>
                <w:bCs/>
                <w:sz w:val="20"/>
                <w:szCs w:val="20"/>
              </w:rPr>
            </w:pPr>
            <w:bookmarkStart w:id="6" w:name="_Hlk153472406"/>
            <w:r>
              <w:rPr>
                <w:rFonts w:hint="default" w:ascii="Times New Roman" w:hAnsi="Times New Roman" w:cs="Times New Roman"/>
                <w:bCs/>
                <w:sz w:val="20"/>
                <w:szCs w:val="20"/>
                <w:lang w:eastAsia="zh-CN"/>
              </w:rPr>
              <w:t>Evaluate testability, interoperability,</w:t>
            </w:r>
            <w:bookmarkEnd w:id="6"/>
            <w:r>
              <w:rPr>
                <w:rFonts w:hint="default" w:ascii="Times New Roman" w:hAnsi="Times New Roman" w:cs="Times New Roman"/>
                <w:bCs/>
                <w:sz w:val="20"/>
                <w:szCs w:val="20"/>
                <w:lang w:eastAsia="zh-CN"/>
              </w:rPr>
              <w:t xml:space="preserve"> and </w:t>
            </w:r>
            <w:r>
              <w:rPr>
                <w:rFonts w:hint="default" w:ascii="Times New Roman" w:hAnsi="Times New Roman" w:cs="Times New Roman"/>
                <w:bCs/>
                <w:sz w:val="20"/>
                <w:szCs w:val="20"/>
              </w:rPr>
              <w:t>impacts on RRM requirements and performance</w:t>
            </w:r>
            <w:r>
              <w:rPr>
                <w:rFonts w:hint="default" w:ascii="Times New Roman" w:hAnsi="Times New Roman" w:cs="Times New Roman"/>
                <w:bCs/>
                <w:sz w:val="20"/>
                <w:szCs w:val="20"/>
                <w:lang w:eastAsia="zh-CN"/>
              </w:rPr>
              <w:t xml:space="preserve"> [RAN4]</w:t>
            </w:r>
          </w:p>
          <w:p w14:paraId="5CB11B01">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Study the impacts on requirements based on RAN2 assumptions, and coordinate with RAN2 if needed </w:t>
            </w:r>
          </w:p>
          <w:p w14:paraId="46918C95">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Study the testability and interoperability based on RAN2 framework (e.g., number of cells to measure, beams etc.)</w:t>
            </w:r>
          </w:p>
          <w:p w14:paraId="0DDA5A89">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NOTE 4: Leverage the work from “AI/ML for NR air interface” led by RAN1 and avoid the duplicate study for testability and interoperability. </w:t>
            </w:r>
          </w:p>
          <w:p w14:paraId="2F32914E">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5: Avoid the overlaps with RAN2 work for evaluation</w:t>
            </w:r>
          </w:p>
          <w:p w14:paraId="60C3DB0A">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2"/>
          <w:lang w:val="en-US" w:eastAsia="zh-CN"/>
        </w:rPr>
        <w:t>AI/ML for mobilit</w:t>
      </w:r>
      <w:r>
        <w:rPr>
          <w:rFonts w:hint="eastAsia" w:ascii="Times New Roman" w:hAnsi="Times New Roman"/>
          <w:sz w:val="22"/>
          <w:highlight w:val="none"/>
          <w:lang w:val="en-US" w:eastAsia="zh-CN"/>
        </w:rPr>
        <w:t>y</w:t>
      </w:r>
      <w:r>
        <w:rPr>
          <w:rFonts w:hint="eastAsia" w:ascii="Times New Roman" w:hAnsi="Times New Roman"/>
          <w:sz w:val="20"/>
          <w:szCs w:val="20"/>
          <w:lang w:val="en-US" w:eastAsia="zh-CN"/>
        </w:rPr>
        <w:t xml:space="preserve">, and a WF was agreed [2]. </w:t>
      </w:r>
      <w:r>
        <w:rPr>
          <w:rFonts w:ascii="Times New Roman" w:hAnsi="Times New Roman"/>
          <w:sz w:val="20"/>
          <w:szCs w:val="20"/>
        </w:rPr>
        <w:t>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RAN4 impacts for RRM measurement prediction</w:t>
      </w:r>
      <w:r>
        <w:rPr>
          <w:rFonts w:hint="eastAsia" w:ascii="Times New Roman" w:hAnsi="Times New Roman"/>
          <w:sz w:val="20"/>
          <w:szCs w:val="20"/>
        </w:rPr>
        <w:t>.</w:t>
      </w:r>
    </w:p>
    <w:p w14:paraId="17263EFA">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7" w:name="OLE_LINK1"/>
      <w:bookmarkStart w:id="8"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9B5F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9734552">
            <w:pPr>
              <w:rPr>
                <w:rFonts w:hint="default" w:ascii="Times New Roman" w:hAnsi="Times New Roman" w:eastAsia="MS Mincho" w:cs="Times New Roman"/>
                <w:b/>
                <w:bCs/>
                <w:sz w:val="20"/>
                <w:szCs w:val="20"/>
                <w:highlight w:val="none"/>
                <w:u w:val="single"/>
                <w:lang w:eastAsia="zh-CN"/>
              </w:rPr>
            </w:pPr>
            <w:r>
              <w:rPr>
                <w:rFonts w:hint="default" w:ascii="Times New Roman" w:hAnsi="Times New Roman" w:eastAsia="MS Mincho" w:cs="Times New Roman"/>
                <w:b/>
                <w:bCs/>
                <w:sz w:val="20"/>
                <w:szCs w:val="20"/>
                <w:highlight w:val="none"/>
                <w:u w:val="single"/>
                <w:lang w:eastAsia="zh-CN"/>
              </w:rPr>
              <w:t>Issue 2-1-1: Relative RSRP accuracy definition</w:t>
            </w:r>
          </w:p>
          <w:p w14:paraId="3F68EF3B">
            <w:pPr>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Agreement:</w:t>
            </w:r>
          </w:p>
          <w:p w14:paraId="37AE75BD">
            <w:pPr>
              <w:pStyle w:val="12"/>
              <w:numPr>
                <w:ilvl w:val="0"/>
                <w:numId w:val="4"/>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For intra-frequency L3-RSRP,</w:t>
            </w:r>
          </w:p>
          <w:p w14:paraId="3AE79C31">
            <w:pPr>
              <w:pStyle w:val="12"/>
              <w:numPr>
                <w:ilvl w:val="1"/>
                <w:numId w:val="4"/>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Accuracy of predicted relative L3-RSRP = (reported predicted L3-RSRP of cell 1 – reported predicted RSRP of cell 2) – (ground truth of RSRP of cell 1 – ground truth of RSRP of cell 2), where cell 1 and cell 2 are on the same frequency, or</w:t>
            </w:r>
          </w:p>
          <w:p w14:paraId="625FD70B">
            <w:pPr>
              <w:pStyle w:val="12"/>
              <w:numPr>
                <w:ilvl w:val="1"/>
                <w:numId w:val="4"/>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Accuracy of predicted relative L3-RSRP = (reported predicted L3-RSRP of beam 1 – reported predicted RSRP of beam 2) – (ground truth of RSRP of beam 1 – ground truth of RSRP of beam 2), where beam 1 and beam 2 are from the same cell.</w:t>
            </w:r>
          </w:p>
          <w:p w14:paraId="11C9B9A2">
            <w:pPr>
              <w:pStyle w:val="12"/>
              <w:numPr>
                <w:ilvl w:val="2"/>
                <w:numId w:val="4"/>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FFS if this definition will be needed.</w:t>
            </w:r>
          </w:p>
          <w:p w14:paraId="02E34044">
            <w:pPr>
              <w:pStyle w:val="12"/>
              <w:numPr>
                <w:ilvl w:val="0"/>
                <w:numId w:val="4"/>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For inter-frequency L3-RSRP,</w:t>
            </w:r>
          </w:p>
          <w:p w14:paraId="63251DF5">
            <w:pPr>
              <w:pStyle w:val="12"/>
              <w:numPr>
                <w:ilvl w:val="1"/>
                <w:numId w:val="4"/>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21FB351F">
            <w:pPr>
              <w:pStyle w:val="12"/>
              <w:numPr>
                <w:ilvl w:val="1"/>
                <w:numId w:val="4"/>
              </w:numPr>
              <w:ind w:firstLineChars="0"/>
              <w:rPr>
                <w:rFonts w:hint="default" w:ascii="Times New Roman" w:hAnsi="Times New Roman" w:cs="Times New Roman"/>
                <w:sz w:val="20"/>
                <w:szCs w:val="20"/>
                <w:highlight w:val="none"/>
                <w:lang w:eastAsia="zh-CN"/>
              </w:rPr>
            </w:pPr>
            <w:r>
              <w:rPr>
                <w:rFonts w:hint="default" w:ascii="Times New Roman" w:hAnsi="Times New Roman" w:eastAsia="Yu Mincho" w:cs="Times New Roman"/>
                <w:sz w:val="20"/>
                <w:szCs w:val="20"/>
                <w:highlight w:val="none"/>
              </w:rPr>
              <w:t>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w:t>
            </w:r>
          </w:p>
          <w:p w14:paraId="3D31AD12">
            <w:pPr>
              <w:pStyle w:val="12"/>
              <w:numPr>
                <w:ilvl w:val="2"/>
                <w:numId w:val="4"/>
              </w:numPr>
              <w:ind w:firstLineChars="0"/>
              <w:rPr>
                <w:rFonts w:hint="default" w:ascii="Times New Roman" w:hAnsi="Times New Roman" w:cs="Times New Roman"/>
                <w:sz w:val="20"/>
                <w:szCs w:val="20"/>
                <w:highlight w:val="none"/>
                <w:lang w:eastAsia="zh-CN"/>
              </w:rPr>
            </w:pPr>
            <w:r>
              <w:rPr>
                <w:rFonts w:hint="default" w:ascii="Times New Roman" w:hAnsi="Times New Roman" w:eastAsia="Yu Mincho" w:cs="Times New Roman"/>
                <w:sz w:val="20"/>
                <w:szCs w:val="20"/>
                <w:highlight w:val="none"/>
              </w:rPr>
              <w:t>Depending on the agreement on ground truth definition, we may revisit relative RSRP accuracy definition</w:t>
            </w:r>
            <w:r>
              <w:rPr>
                <w:rFonts w:hint="default" w:ascii="Times New Roman" w:hAnsi="Times New Roman" w:cs="Times New Roman"/>
                <w:sz w:val="20"/>
                <w:szCs w:val="20"/>
                <w:highlight w:val="none"/>
                <w:lang w:eastAsia="zh-CN"/>
              </w:rPr>
              <w:t>.</w:t>
            </w:r>
          </w:p>
          <w:p w14:paraId="08408310">
            <w:pPr>
              <w:pStyle w:val="12"/>
              <w:numPr>
                <w:ilvl w:val="2"/>
                <w:numId w:val="4"/>
              </w:numPr>
              <w:ind w:firstLineChars="0"/>
              <w:rPr>
                <w:rFonts w:hint="default" w:ascii="Times New Roman" w:hAnsi="Times New Roman" w:cs="Times New Roman"/>
                <w:sz w:val="20"/>
                <w:szCs w:val="20"/>
                <w:highlight w:val="none"/>
                <w:lang w:eastAsia="zh-CN"/>
              </w:rPr>
            </w:pPr>
            <w:r>
              <w:rPr>
                <w:rFonts w:hint="default" w:ascii="Times New Roman" w:hAnsi="Times New Roman" w:eastAsia="Yu Mincho" w:cs="Times New Roman"/>
                <w:sz w:val="20"/>
                <w:szCs w:val="20"/>
                <w:highlight w:val="none"/>
              </w:rPr>
              <w:t>FFS: whether the reported RSRP of cell2 can be predicted or measured or a combination of both predicted and measured samples</w:t>
            </w:r>
            <w:r>
              <w:rPr>
                <w:rFonts w:hint="default" w:ascii="Times New Roman" w:hAnsi="Times New Roman" w:cs="Times New Roman"/>
                <w:color w:val="000000" w:themeColor="text1"/>
                <w:sz w:val="20"/>
                <w:szCs w:val="20"/>
                <w:highlight w:val="none"/>
                <w:lang w:eastAsia="zh-CN"/>
                <w14:textFill>
                  <w14:solidFill>
                    <w14:schemeClr w14:val="tx1"/>
                  </w14:solidFill>
                </w14:textFill>
              </w:rPr>
              <w:t>.</w:t>
            </w:r>
          </w:p>
          <w:p w14:paraId="4931E036">
            <w:pPr>
              <w:pStyle w:val="12"/>
              <w:numPr>
                <w:ilvl w:val="0"/>
                <w:numId w:val="4"/>
              </w:numPr>
              <w:ind w:firstLineChars="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FFS, if there is any impact on this definition for different scenarios/different frequency ranges.</w:t>
            </w:r>
          </w:p>
          <w:p w14:paraId="2172B605">
            <w:pPr>
              <w:pStyle w:val="12"/>
              <w:numPr>
                <w:ilvl w:val="0"/>
                <w:numId w:val="0"/>
              </w:numPr>
              <w:rPr>
                <w:rFonts w:hint="default" w:ascii="Times New Roman" w:hAnsi="Times New Roman" w:cs="Times New Roman"/>
                <w:b/>
                <w:bCs w:val="0"/>
                <w:i/>
                <w:iCs w:val="0"/>
                <w:sz w:val="20"/>
                <w:szCs w:val="20"/>
                <w:highlight w:val="none"/>
                <w:vertAlign w:val="baseline"/>
                <w:lang w:val="en-US" w:eastAsia="zh-CN"/>
              </w:rPr>
            </w:pPr>
          </w:p>
        </w:tc>
      </w:tr>
    </w:tbl>
    <w:p w14:paraId="7F23957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val="0"/>
          <w:i/>
          <w:iCs w:val="0"/>
          <w:sz w:val="20"/>
          <w:szCs w:val="20"/>
          <w:lang w:val="en-US" w:eastAsia="zh-CN"/>
        </w:rPr>
      </w:pPr>
    </w:p>
    <w:p w14:paraId="645E5E54">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宋体" w:cs="Times New Roman"/>
          <w:sz w:val="20"/>
          <w:szCs w:val="20"/>
          <w:highlight w:val="none"/>
          <w:lang w:val="en-US" w:eastAsia="zh-CN"/>
        </w:rPr>
      </w:pPr>
      <w:r>
        <w:rPr>
          <w:rFonts w:hint="eastAsia" w:ascii="Times New Roman" w:hAnsi="Times New Roman" w:eastAsia="等线" w:cs="Times New Roman"/>
          <w:bCs/>
          <w:iCs/>
          <w:sz w:val="20"/>
          <w:szCs w:val="20"/>
          <w:lang w:val="en-US" w:eastAsia="zh-CN"/>
        </w:rPr>
        <w:t xml:space="preserve">One of the FFS for inter-frequency L3-RSRP relative accuracy is whether </w:t>
      </w:r>
      <w:r>
        <w:rPr>
          <w:rFonts w:hint="default" w:ascii="Times New Roman" w:hAnsi="Times New Roman" w:eastAsia="Yu Mincho" w:cs="Times New Roman"/>
          <w:sz w:val="20"/>
          <w:szCs w:val="20"/>
          <w:highlight w:val="none"/>
        </w:rPr>
        <w:t>the reported RSRP of cell2 can be predicted or measured or a combination of both predicted and measured samples</w:t>
      </w:r>
      <w:r>
        <w:rPr>
          <w:rFonts w:hint="default" w:ascii="Times New Roman" w:hAnsi="Times New Roman" w:cs="Times New Roman"/>
          <w:color w:val="000000" w:themeColor="text1"/>
          <w:sz w:val="20"/>
          <w:szCs w:val="20"/>
          <w:highlight w:val="none"/>
          <w:lang w:eastAsia="zh-CN"/>
          <w14:textFill>
            <w14:solidFill>
              <w14:schemeClr w14:val="tx1"/>
            </w14:solidFill>
          </w14:textFill>
        </w:rPr>
        <w:t>.</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 xml:space="preserve"> In our view, </w:t>
      </w:r>
      <w:r>
        <w:rPr>
          <w:rFonts w:hint="default" w:ascii="Times New Roman" w:hAnsi="Times New Roman" w:eastAsia="Yu Mincho" w:cs="Times New Roman"/>
          <w:sz w:val="20"/>
          <w:szCs w:val="20"/>
          <w:highlight w:val="none"/>
        </w:rPr>
        <w:t>the reported RSRP of cell2 can be predicted or measured</w:t>
      </w:r>
      <w:r>
        <w:rPr>
          <w:rFonts w:hint="eastAsia" w:ascii="Times New Roman" w:hAnsi="Times New Roman" w:eastAsia="宋体" w:cs="Times New Roman"/>
          <w:sz w:val="20"/>
          <w:szCs w:val="20"/>
          <w:highlight w:val="none"/>
          <w:lang w:val="en-US" w:eastAsia="zh-CN"/>
        </w:rPr>
        <w:t xml:space="preserve"> pending on different cases. </w:t>
      </w:r>
    </w:p>
    <w:p w14:paraId="29BC5C94">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default" w:ascii="Times New Roman" w:hAnsi="Times New Roman" w:eastAsia="宋体"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Also, RAN2 agreed that for </w:t>
      </w:r>
      <w:r>
        <w:rPr>
          <w:rFonts w:hint="default" w:ascii="Times New Roman" w:hAnsi="Times New Roman" w:eastAsia="等线" w:cs="Times New Roman"/>
          <w:bCs/>
          <w:iCs/>
          <w:sz w:val="20"/>
          <w:szCs w:val="20"/>
          <w:vertAlign w:val="baseline"/>
          <w:lang w:val="en-US" w:eastAsia="zh-CN"/>
        </w:rPr>
        <w:t>RRM prediction, UE sided model, the UE can be configured with periodic or event triggered reporting of predicted and/or actual RRM measurements.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3552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B9A12D8">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eastAsia"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 in RAN2#129</w:t>
            </w:r>
            <w:r>
              <w:rPr>
                <w:rFonts w:hint="eastAsia" w:ascii="Times New Roman" w:hAnsi="Times New Roman" w:cs="Times New Roman"/>
                <w:b/>
                <w:bCs/>
                <w:sz w:val="20"/>
                <w:szCs w:val="20"/>
                <w:u w:val="single"/>
                <w:lang w:val="en-US" w:eastAsia="zh-CN"/>
              </w:rPr>
              <w:t>bis</w:t>
            </w:r>
          </w:p>
          <w:p w14:paraId="5D1AE8A3">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For RRM prediction, UE sided model, the UE can be configured with periodic or event triggered reporting of predicted and/or actual RRM measurements.   FFS details</w:t>
            </w:r>
          </w:p>
          <w:p w14:paraId="179A58F3">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宋体" w:cs="Times New Roman"/>
                <w:sz w:val="20"/>
                <w:szCs w:val="20"/>
                <w:highlight w:val="none"/>
                <w:vertAlign w:val="baseline"/>
                <w:lang w:val="en-US" w:eastAsia="zh-CN"/>
              </w:rPr>
            </w:pPr>
            <w:r>
              <w:rPr>
                <w:rFonts w:hint="default" w:ascii="Times New Roman" w:hAnsi="Times New Roman" w:eastAsia="等线" w:cs="Times New Roman"/>
                <w:bCs/>
                <w:iCs/>
                <w:sz w:val="20"/>
                <w:szCs w:val="20"/>
                <w:vertAlign w:val="baseline"/>
                <w:lang w:val="en-US" w:eastAsia="zh-CN"/>
              </w:rPr>
              <w:t>For event prediction, UE-sided model, the UE can be configured with event-triggered reporting based on prediction and/or actual measurements.  FFS details</w:t>
            </w:r>
          </w:p>
          <w:p w14:paraId="4C4DFEAF">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宋体" w:cs="Times New Roman"/>
                <w:sz w:val="20"/>
                <w:szCs w:val="20"/>
                <w:highlight w:val="none"/>
                <w:vertAlign w:val="baseline"/>
                <w:lang w:val="en-US" w:eastAsia="zh-CN"/>
              </w:rPr>
            </w:pPr>
            <w:r>
              <w:rPr>
                <w:rFonts w:hint="default" w:ascii="Times New Roman" w:hAnsi="Times New Roman" w:eastAsia="等线" w:cs="Times New Roman"/>
                <w:bCs/>
                <w:iCs/>
                <w:sz w:val="20"/>
                <w:szCs w:val="20"/>
                <w:vertAlign w:val="baseline"/>
                <w:lang w:val="en-US" w:eastAsia="zh-CN"/>
              </w:rPr>
              <w:t>Baseline is that this applies to all A1-6 events, unless technical problems are identified.  Baseline quantity is RSRP.</w:t>
            </w:r>
          </w:p>
        </w:tc>
      </w:tr>
    </w:tbl>
    <w:p w14:paraId="390D1187">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宋体" w:cs="Times New Roman"/>
          <w:b/>
          <w:bCs/>
          <w:i/>
          <w:iCs/>
          <w:sz w:val="20"/>
          <w:szCs w:val="20"/>
          <w:highlight w:val="none"/>
          <w:lang w:val="en-US" w:eastAsia="zh-CN"/>
        </w:rPr>
        <w:t xml:space="preserve">Proposal 1: for accuracy </w:t>
      </w:r>
      <w:r>
        <w:rPr>
          <w:rFonts w:hint="default" w:ascii="Times New Roman" w:hAnsi="Times New Roman" w:eastAsia="Yu Mincho" w:cs="Times New Roman"/>
          <w:b/>
          <w:bCs/>
          <w:i/>
          <w:iCs/>
          <w:sz w:val="20"/>
          <w:szCs w:val="20"/>
          <w:highlight w:val="none"/>
        </w:rPr>
        <w:t>of predicted relative L3-RSRP</w:t>
      </w:r>
      <w:r>
        <w:rPr>
          <w:rFonts w:hint="eastAsia" w:ascii="Times New Roman" w:hAnsi="Times New Roman" w:eastAsia="宋体" w:cs="Times New Roman"/>
          <w:b/>
          <w:bCs/>
          <w:i/>
          <w:iCs/>
          <w:sz w:val="20"/>
          <w:szCs w:val="20"/>
          <w:highlight w:val="none"/>
          <w:lang w:val="en-US" w:eastAsia="zh-CN"/>
        </w:rPr>
        <w:t xml:space="preserve"> </w:t>
      </w:r>
      <w:r>
        <w:rPr>
          <w:rFonts w:hint="eastAsia" w:ascii="Times New Roman" w:hAnsi="Times New Roman" w:cs="Times New Roman"/>
          <w:b/>
          <w:bCs/>
          <w:i/>
          <w:iCs/>
          <w:sz w:val="20"/>
          <w:szCs w:val="20"/>
          <w:highlight w:val="none"/>
          <w:lang w:val="en-US" w:eastAsia="zh-CN"/>
        </w:rPr>
        <w:t xml:space="preserve">for </w:t>
      </w:r>
      <w:r>
        <w:rPr>
          <w:rFonts w:hint="eastAsia" w:ascii="Times New Roman" w:hAnsi="Times New Roman" w:eastAsia="宋体" w:cs="Times New Roman"/>
          <w:b/>
          <w:bCs/>
          <w:i/>
          <w:iCs/>
          <w:sz w:val="20"/>
          <w:szCs w:val="20"/>
          <w:highlight w:val="none"/>
          <w:lang w:val="en-US" w:eastAsia="zh-CN"/>
        </w:rPr>
        <w:t>inter-frequency</w:t>
      </w:r>
      <w:r>
        <w:rPr>
          <w:rFonts w:hint="eastAsia" w:ascii="Times New Roman" w:hAnsi="Times New Roman" w:cs="Times New Roman"/>
          <w:b/>
          <w:bCs/>
          <w:i/>
          <w:iCs/>
          <w:sz w:val="20"/>
          <w:szCs w:val="20"/>
          <w:highlight w:val="none"/>
          <w:lang w:val="en-US" w:eastAsia="zh-CN"/>
        </w:rPr>
        <w:t xml:space="preserve">, it is proposed that the </w:t>
      </w:r>
      <w:r>
        <w:rPr>
          <w:rFonts w:hint="default" w:ascii="Times New Roman" w:hAnsi="Times New Roman" w:eastAsia="Yu Mincho" w:cs="Times New Roman"/>
          <w:b/>
          <w:bCs/>
          <w:i/>
          <w:iCs/>
          <w:sz w:val="20"/>
          <w:szCs w:val="20"/>
          <w:highlight w:val="none"/>
        </w:rPr>
        <w:t>reported RSRP of cell2 can be predicted or measured</w:t>
      </w:r>
      <w:r>
        <w:rPr>
          <w:rFonts w:hint="eastAsia" w:ascii="Times New Roman" w:hAnsi="Times New Roman" w:eastAsia="宋体" w:cs="Times New Roman"/>
          <w:b/>
          <w:bCs/>
          <w:i/>
          <w:iCs/>
          <w:sz w:val="20"/>
          <w:szCs w:val="20"/>
          <w:highlight w:val="none"/>
          <w:lang w:val="en-US" w:eastAsia="zh-CN"/>
        </w:rPr>
        <w:t>.</w:t>
      </w:r>
      <w:r>
        <w:rPr>
          <w:rFonts w:hint="eastAsia" w:ascii="Times New Roman" w:hAnsi="Times New Roman" w:cs="Times New Roman"/>
          <w:b/>
          <w:bCs/>
          <w:i/>
          <w:iCs/>
          <w:sz w:val="20"/>
          <w:szCs w:val="20"/>
          <w:highlight w:val="none"/>
          <w:lang w:val="en-US" w:eastAsia="zh-CN"/>
        </w:rPr>
        <w:t xml:space="preserve">  </w:t>
      </w:r>
      <w:r>
        <w:rPr>
          <w:rFonts w:hint="eastAsia" w:ascii="Times New Roman" w:hAnsi="Times New Roman" w:eastAsia="宋体" w:cs="Times New Roman"/>
          <w:b/>
          <w:bCs/>
          <w:i/>
          <w:iCs/>
          <w:sz w:val="20"/>
          <w:szCs w:val="20"/>
          <w:highlight w:val="none"/>
          <w:lang w:val="en-US" w:eastAsia="zh-CN"/>
        </w:rPr>
        <w:t xml:space="preserve"> </w:t>
      </w:r>
      <w:r>
        <w:rPr>
          <w:rFonts w:hint="eastAsia" w:ascii="Times New Roman" w:hAnsi="Times New Roman" w:eastAsia="等线" w:cs="Times New Roman"/>
          <w:b/>
          <w:bCs/>
          <w:i/>
          <w:iCs/>
          <w:sz w:val="20"/>
          <w:szCs w:val="20"/>
          <w:lang w:val="en-US" w:eastAsia="zh-CN"/>
        </w:rPr>
        <w:t xml:space="preserve"> </w:t>
      </w:r>
    </w:p>
    <w:p w14:paraId="67B0DE47">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default" w:ascii="Times New Roman" w:hAnsi="Times New Roman" w:eastAsia="等线" w:cs="Times New Roman"/>
          <w:b/>
          <w:bCs/>
          <w:i/>
          <w:iCs/>
          <w:sz w:val="20"/>
          <w:szCs w:val="20"/>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301C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C7A6AEE">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2-1-2: Strongest Cell Prediction accuracy</w:t>
            </w:r>
          </w:p>
          <w:p w14:paraId="1F64FB5D">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000BDC88">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1 (Qualcomm): RAN4 to consider the following as one of the performance metrics for AI/ML-based L3-RSRP prediction. If the down selection needs to be made during the study item phase, RAN4 should consider Top-K(%) and Top-K/1(%) in that order of priority:</w:t>
            </w:r>
          </w:p>
          <w:p w14:paraId="6217F44B">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Top-1 (%) : The percentage of ‘the Top-1 strongest cell is Top-1 predicted cell’</w:t>
            </w:r>
          </w:p>
          <w:p w14:paraId="4C03C580">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Top-K/1 (%) : The percentage of ‘the Top-1 strongest cell is one of the Top-K predicted cells’</w:t>
            </w:r>
          </w:p>
          <w:p w14:paraId="47BCA853">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Top-1/K (%) : The percentage of ‘the Top-1 predicted cell is one of the Top-K strongest cells’</w:t>
            </w:r>
          </w:p>
          <w:p w14:paraId="2B92566A">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Top-K (%): The percentage of the maximum ground truth L3-RSRP among the Top-K predicted cells being larger than ‘the ground truth L3-RSRP of the strongest cell’ - X dB</w:t>
            </w:r>
          </w:p>
          <w:p w14:paraId="2809E751">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Note: Top-1 strongest cell and Top-K strongest cells are determined by the metric of ground truth L3-RSRP.</w:t>
            </w:r>
          </w:p>
          <w:p w14:paraId="1EFBDADB">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Recommended WF</w:t>
            </w:r>
          </w:p>
          <w:p w14:paraId="7C2E0BB7">
            <w:pPr>
              <w:pStyle w:val="12"/>
              <w:numPr>
                <w:ilvl w:val="1"/>
                <w:numId w:val="4"/>
              </w:numPr>
              <w:overflowPunct/>
              <w:autoSpaceDE/>
              <w:autoSpaceDN/>
              <w:adjustRightInd/>
              <w:spacing w:after="120"/>
              <w:ind w:left="1656"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color w:val="000000" w:themeColor="text1"/>
                <w:sz w:val="20"/>
                <w:szCs w:val="20"/>
                <w:lang w:eastAsia="zh-CN"/>
                <w14:textFill>
                  <w14:solidFill>
                    <w14:schemeClr w14:val="tx1"/>
                  </w14:solidFill>
                </w14:textFill>
              </w:rPr>
              <w:t>Discuss the above proposal.</w:t>
            </w:r>
          </w:p>
        </w:tc>
      </w:tr>
    </w:tbl>
    <w:p w14:paraId="5B820540">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Cs/>
          <w:iCs/>
          <w:sz w:val="20"/>
          <w:szCs w:val="20"/>
          <w:lang w:val="en-US" w:eastAsia="zh-CN"/>
        </w:rPr>
      </w:pPr>
    </w:p>
    <w:p w14:paraId="2A869598">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BM use case, prediction ID is one of the performance metric, since RAN1 agreed that the model output could be only beam ID or both RSRP and beam ID. At least for the case that only beam ID is reported, the KPI is the beam ID prediction accuracy which is similar as Top K/N (%), N&gt;=1.</w:t>
      </w:r>
    </w:p>
    <w:p w14:paraId="73BB293C">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However, for AI for mobility, according to our knowledge, RAN2 discussion focus on the case that model output is RSRP, and the case that model output is cell ID is not considered. With this situation, it seems that no need to consider the metric of Top K/N (%), N&gt;=1.</w:t>
      </w:r>
    </w:p>
    <w:p w14:paraId="2754FC95">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2: whether to consider Top K/N (%), N&gt;=1 as the performance metrics for AI/ML-based L3-RSRP prediction is pending on whether the case that model output is cell ID is considered in RAN2.</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07FC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52B2CAE">
            <w:pPr>
              <w:rPr>
                <w:rFonts w:hint="default" w:ascii="Times New Roman" w:hAnsi="Times New Roman" w:eastAsia="MS Mincho" w:cs="Times New Roman"/>
                <w:b/>
                <w:bCs/>
                <w:sz w:val="20"/>
                <w:szCs w:val="20"/>
                <w:u w:val="single"/>
                <w:lang w:eastAsia="zh-CN"/>
              </w:rPr>
            </w:pPr>
            <w:r>
              <w:rPr>
                <w:rFonts w:hint="default" w:ascii="Times New Roman" w:hAnsi="Times New Roman" w:eastAsia="MS Mincho" w:cs="Times New Roman"/>
                <w:b/>
                <w:bCs/>
                <w:sz w:val="20"/>
                <w:szCs w:val="20"/>
                <w:u w:val="single"/>
                <w:lang w:eastAsia="zh-CN"/>
              </w:rPr>
              <w:t>Issue 2-1-5: Ground truth definition for RSRP Accuracy for FR1</w:t>
            </w:r>
          </w:p>
          <w:p w14:paraId="58E6FB06">
            <w:pPr>
              <w:snapToGrid w:val="0"/>
              <w:spacing w:after="120"/>
              <w:rPr>
                <w:rFonts w:hint="default" w:ascii="Times New Roman" w:hAnsi="Times New Roman" w:cs="Times New Roman"/>
                <w:sz w:val="20"/>
                <w:szCs w:val="20"/>
                <w:highlight w:val="green"/>
                <w:lang w:eastAsia="zh-CN"/>
              </w:rPr>
            </w:pPr>
            <w:r>
              <w:rPr>
                <w:rFonts w:hint="default" w:ascii="Times New Roman" w:hAnsi="Times New Roman" w:cs="Times New Roman"/>
                <w:sz w:val="20"/>
                <w:szCs w:val="20"/>
                <w:highlight w:val="green"/>
                <w:lang w:eastAsia="zh-CN"/>
              </w:rPr>
              <w:t>Agreement:</w:t>
            </w:r>
          </w:p>
          <w:p w14:paraId="3039007A">
            <w:pPr>
              <w:snapToGrid w:val="0"/>
              <w:spacing w:after="120"/>
              <w:rPr>
                <w:rFonts w:hint="default" w:ascii="Times New Roman" w:hAnsi="Times New Roman" w:cs="Times New Roman"/>
                <w:sz w:val="20"/>
                <w:szCs w:val="20"/>
                <w:highlight w:val="green"/>
                <w:lang w:eastAsia="zh-CN"/>
              </w:rPr>
            </w:pPr>
            <w:r>
              <w:rPr>
                <w:rFonts w:hint="default" w:ascii="Times New Roman" w:hAnsi="Times New Roman" w:cs="Times New Roman"/>
                <w:sz w:val="20"/>
                <w:szCs w:val="20"/>
                <w:highlight w:val="green"/>
                <w:lang w:eastAsia="zh-CN"/>
              </w:rPr>
              <w:t xml:space="preserve">During the SI, RAN4 to provide analysis on potential issue and possible solution to the two Alternatives. If RAN4 cannot make decision during the SI phase, RAN4 will discuss in the WI phase. </w:t>
            </w:r>
          </w:p>
          <w:p w14:paraId="5DB02C08">
            <w:pPr>
              <w:pStyle w:val="12"/>
              <w:numPr>
                <w:ilvl w:val="0"/>
                <w:numId w:val="6"/>
              </w:numPr>
              <w:snapToGrid w:val="0"/>
              <w:spacing w:after="120"/>
              <w:ind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highlight w:val="green"/>
              </w:rPr>
              <w:t>At least capture the definition of the two Alternatives in the TR.</w:t>
            </w:r>
          </w:p>
        </w:tc>
      </w:tr>
    </w:tbl>
    <w:p w14:paraId="2F03994B">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Cs/>
          <w:iCs/>
          <w:sz w:val="20"/>
          <w:szCs w:val="20"/>
          <w:lang w:val="en-US" w:eastAsia="zh-CN"/>
        </w:rPr>
      </w:pPr>
    </w:p>
    <w:p w14:paraId="7E7537E7">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For FR1, according to previous discussion, there are two alternatives. It was agreed on last meeting that during the SI, RAN4 to provide analysis on potential issue and possible solution to the two Alternatives. </w:t>
      </w:r>
    </w:p>
    <w:p w14:paraId="674668C3">
      <w:pPr>
        <w:pStyle w:val="12"/>
        <w:keepNext w:val="0"/>
        <w:keepLines w:val="0"/>
        <w:pageBreakBefore w:val="0"/>
        <w:widowControl/>
        <w:numPr>
          <w:ilvl w:val="0"/>
          <w:numId w:val="7"/>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Alt 1: Ground truth for FR1 will be based on the transmitted or reception power </w:t>
      </w:r>
    </w:p>
    <w:p w14:paraId="01873D1F">
      <w:pPr>
        <w:pStyle w:val="12"/>
        <w:keepNext w:val="0"/>
        <w:keepLines w:val="0"/>
        <w:pageBreakBefore w:val="0"/>
        <w:widowControl/>
        <w:numPr>
          <w:ilvl w:val="0"/>
          <w:numId w:val="7"/>
        </w:numPr>
        <w:kinsoku/>
        <w:wordWrap/>
        <w:overflowPunct/>
        <w:topLinePunct w:val="0"/>
        <w:autoSpaceDE/>
        <w:autoSpaceDN/>
        <w:bidi w:val="0"/>
        <w:adjustRightInd/>
        <w:snapToGrid/>
        <w:spacing w:before="120" w:after="120"/>
        <w:ind w:left="420" w:leftChars="0" w:hanging="420" w:firstLineChars="0"/>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Alt 2: Ground truth for FR1 will be based on the reported measurement value under certain conditions </w:t>
      </w:r>
    </w:p>
    <w:p w14:paraId="200BFA88">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default"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 xml:space="preserve">Our initial consideration is to follow legay way to use transmitted power at TE side as ground truth. However, some issues are identified. </w:t>
      </w:r>
      <w:r>
        <w:rPr>
          <w:rFonts w:hint="eastAsia" w:ascii="Times New Roman" w:hAnsi="Times New Roman" w:eastAsia="等线"/>
          <w:bCs/>
          <w:iCs/>
          <w:sz w:val="20"/>
          <w:szCs w:val="20"/>
          <w:lang w:val="en-US" w:eastAsia="zh-CN"/>
        </w:rPr>
        <w:t xml:space="preserve">In legacy FR1 test case set up, no L3 filtering and </w:t>
      </w:r>
      <w:r>
        <w:rPr>
          <w:rFonts w:ascii="Times New Roman" w:hAnsi="Times New Roman" w:cs="Times New Roman"/>
          <w:sz w:val="21"/>
          <w:szCs w:val="21"/>
        </w:rPr>
        <w:t>AWGN</w:t>
      </w:r>
      <w:r>
        <w:rPr>
          <w:rFonts w:ascii="Times New Roman" w:hAnsi="Times New Roman" w:cs="Times New Roman"/>
          <w:szCs w:val="21"/>
        </w:rPr>
        <w:t xml:space="preserve"> </w:t>
      </w:r>
      <w:r>
        <w:rPr>
          <w:rFonts w:ascii="Times New Roman" w:hAnsi="Times New Roman" w:cs="Times New Roman"/>
          <w:sz w:val="21"/>
          <w:szCs w:val="21"/>
        </w:rPr>
        <w:t>channel is</w:t>
      </w:r>
      <w:r>
        <w:rPr>
          <w:rFonts w:hint="eastAsia" w:ascii="Times New Roman" w:hAnsi="Times New Roman" w:cs="Times New Roman"/>
          <w:sz w:val="21"/>
          <w:szCs w:val="21"/>
          <w:lang w:val="en-US" w:eastAsia="zh-CN"/>
        </w:rPr>
        <w:t xml:space="preserve"> in use</w:t>
      </w:r>
      <w:r>
        <w:rPr>
          <w:rFonts w:hint="eastAsia" w:ascii="Times New Roman" w:hAnsi="Times New Roman" w:eastAsia="等线"/>
          <w:bCs/>
          <w:iCs/>
          <w:sz w:val="20"/>
          <w:szCs w:val="20"/>
          <w:lang w:val="en-US" w:eastAsia="zh-CN"/>
        </w:rPr>
        <w:t>. However, for AI test, fading channel will be employed, which means there is channel fluctuation in the time domain. If we go with alternative 1 (</w:t>
      </w:r>
      <w:r>
        <w:rPr>
          <w:rFonts w:hint="default" w:ascii="Times New Roman" w:hAnsi="Times New Roman" w:eastAsia="Yu Mincho" w:cs="Times New Roman"/>
          <w:sz w:val="20"/>
          <w:szCs w:val="20"/>
          <w:highlight w:val="none"/>
        </w:rPr>
        <w:t>Ground truth for FR1 will be based on the transmitted or reception power</w:t>
      </w:r>
      <w:r>
        <w:rPr>
          <w:rFonts w:hint="eastAsia" w:ascii="Times New Roman" w:hAnsi="Times New Roman" w:eastAsia="等线"/>
          <w:bCs/>
          <w:iCs/>
          <w:sz w:val="20"/>
          <w:szCs w:val="20"/>
          <w:lang w:val="en-US" w:eastAsia="zh-CN"/>
        </w:rPr>
        <w:t>), since UE perform L1/L3 filtering will have impact on the ideal RSRP and TE has no such information, it is difficult for TE to derive the ground truth. While for alternative 2 (</w:t>
      </w:r>
      <w:r>
        <w:rPr>
          <w:rFonts w:hint="default" w:ascii="Times New Roman" w:hAnsi="Times New Roman" w:eastAsia="Yu Mincho" w:cs="Times New Roman"/>
          <w:sz w:val="20"/>
          <w:szCs w:val="20"/>
          <w:highlight w:val="none"/>
        </w:rPr>
        <w:t>Ground truth for FR1 will be based on the reported measurement value under certain conditions</w:t>
      </w:r>
      <w:r>
        <w:rPr>
          <w:rFonts w:hint="eastAsia" w:ascii="Times New Roman" w:hAnsi="Times New Roman" w:eastAsia="等线"/>
          <w:bCs/>
          <w:iCs/>
          <w:sz w:val="20"/>
          <w:szCs w:val="20"/>
          <w:lang w:val="en-US" w:eastAsia="zh-CN"/>
        </w:rPr>
        <w:t>), issues are also observed. Considering the channel is fluctuated, the channel condition to get ground truth and the channel condition to predict is different, which will result in mismatch. And there is cheating issue since both the ground truth and predicted value are reported by UE. Based on above discussion, each alternative has pros can cons. From our point of view, it is slightly prefer alternative 1. To solve the issue, it can be assumed no L3 filtering in the test case. As for the impact due to L1 filtering, it can be further check whether it is possible to assume one filtering mechanism when TE derive the ground truth.</w:t>
      </w:r>
    </w:p>
    <w:p w14:paraId="17358DCB">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Table 2 provide the comparison between Alternative 1 and Alternative 2 for ground truth definition for FR1.</w:t>
      </w:r>
    </w:p>
    <w:p w14:paraId="2EEAC4DB">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jc w:val="center"/>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Table 2 Comparison between Alternative 1 and Alternative 2 for ground truth definition for FR1</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6"/>
        <w:gridCol w:w="3780"/>
        <w:gridCol w:w="3595"/>
      </w:tblGrid>
      <w:tr w14:paraId="686FE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0A000855">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val="0"/>
                <w:iCs/>
                <w:sz w:val="20"/>
                <w:szCs w:val="20"/>
                <w:vertAlign w:val="baseline"/>
                <w:lang w:val="en-US" w:eastAsia="zh-CN"/>
              </w:rPr>
            </w:pPr>
          </w:p>
        </w:tc>
        <w:tc>
          <w:tcPr>
            <w:tcW w:w="3780" w:type="dxa"/>
          </w:tcPr>
          <w:p w14:paraId="53025430">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Alternative 1</w:t>
            </w:r>
          </w:p>
          <w:p w14:paraId="1F6D0930">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val="0"/>
                <w:iCs/>
                <w:sz w:val="20"/>
                <w:szCs w:val="20"/>
                <w:vertAlign w:val="baseline"/>
                <w:lang w:val="en-US" w:eastAsia="zh-CN"/>
              </w:rPr>
            </w:pPr>
            <w:r>
              <w:rPr>
                <w:rFonts w:hint="eastAsia" w:ascii="Times New Roman" w:hAnsi="Times New Roman" w:eastAsia="等线"/>
                <w:b/>
                <w:bCs w:val="0"/>
                <w:iCs/>
                <w:sz w:val="20"/>
                <w:szCs w:val="20"/>
                <w:lang w:val="en-US" w:eastAsia="zh-CN"/>
              </w:rPr>
              <w:t xml:space="preserve"> (</w:t>
            </w:r>
            <w:r>
              <w:rPr>
                <w:rFonts w:hint="default" w:ascii="Times New Roman" w:hAnsi="Times New Roman" w:eastAsia="Yu Mincho" w:cs="Times New Roman"/>
                <w:b/>
                <w:bCs w:val="0"/>
                <w:sz w:val="20"/>
                <w:szCs w:val="20"/>
                <w:highlight w:val="none"/>
              </w:rPr>
              <w:t>Ground truth for FR1 will be based on the transmitted or reception power</w:t>
            </w:r>
            <w:r>
              <w:rPr>
                <w:rFonts w:hint="eastAsia" w:ascii="Times New Roman" w:hAnsi="Times New Roman" w:eastAsia="等线"/>
                <w:b/>
                <w:bCs w:val="0"/>
                <w:iCs/>
                <w:sz w:val="20"/>
                <w:szCs w:val="20"/>
                <w:lang w:val="en-US" w:eastAsia="zh-CN"/>
              </w:rPr>
              <w:t>)</w:t>
            </w:r>
          </w:p>
        </w:tc>
        <w:tc>
          <w:tcPr>
            <w:tcW w:w="3595" w:type="dxa"/>
          </w:tcPr>
          <w:p w14:paraId="0E510D9D">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Alternative 2</w:t>
            </w:r>
          </w:p>
          <w:p w14:paraId="2582ECFB">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val="0"/>
                <w:iCs/>
                <w:sz w:val="20"/>
                <w:szCs w:val="20"/>
                <w:vertAlign w:val="baseline"/>
                <w:lang w:val="en-US" w:eastAsia="zh-CN"/>
              </w:rPr>
            </w:pPr>
            <w:r>
              <w:rPr>
                <w:rFonts w:hint="eastAsia" w:ascii="Times New Roman" w:hAnsi="Times New Roman" w:eastAsia="等线"/>
                <w:b/>
                <w:bCs w:val="0"/>
                <w:iCs/>
                <w:sz w:val="20"/>
                <w:szCs w:val="20"/>
                <w:lang w:val="en-US" w:eastAsia="zh-CN"/>
              </w:rPr>
              <w:t xml:space="preserve"> (</w:t>
            </w:r>
            <w:r>
              <w:rPr>
                <w:rFonts w:hint="default" w:ascii="Times New Roman" w:hAnsi="Times New Roman" w:eastAsia="Yu Mincho" w:cs="Times New Roman"/>
                <w:b/>
                <w:bCs w:val="0"/>
                <w:sz w:val="20"/>
                <w:szCs w:val="20"/>
                <w:highlight w:val="none"/>
              </w:rPr>
              <w:t>Ground truth for FR1 will be based on the reported measurement value under certain conditions</w:t>
            </w:r>
            <w:r>
              <w:rPr>
                <w:rFonts w:hint="eastAsia" w:ascii="Times New Roman" w:hAnsi="Times New Roman" w:eastAsia="等线"/>
                <w:b/>
                <w:bCs w:val="0"/>
                <w:iCs/>
                <w:sz w:val="20"/>
                <w:szCs w:val="20"/>
                <w:lang w:val="en-US" w:eastAsia="zh-CN"/>
              </w:rPr>
              <w:t>)</w:t>
            </w:r>
          </w:p>
        </w:tc>
      </w:tr>
      <w:tr w14:paraId="4F8CE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4130A3FC">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iCs/>
                <w:sz w:val="20"/>
                <w:szCs w:val="20"/>
                <w:vertAlign w:val="baseline"/>
                <w:lang w:val="en-US" w:eastAsia="zh-CN"/>
              </w:rPr>
            </w:pPr>
            <w:r>
              <w:rPr>
                <w:rFonts w:hint="default" w:ascii="Times New Roman" w:hAnsi="Times New Roman" w:eastAsia="Yu Mincho" w:cs="Times New Roman"/>
                <w:b/>
                <w:bCs/>
                <w:sz w:val="20"/>
                <w:szCs w:val="20"/>
                <w:highlight w:val="none"/>
              </w:rPr>
              <w:t>Impact of L3 filtering</w:t>
            </w:r>
          </w:p>
        </w:tc>
        <w:tc>
          <w:tcPr>
            <w:tcW w:w="3780" w:type="dxa"/>
          </w:tcPr>
          <w:p w14:paraId="07536834">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If L3 filtering is considered, how to perform L3 filtering is based on </w:t>
            </w:r>
            <w:r>
              <w:rPr>
                <w:rFonts w:ascii="Times New Roman" w:hAnsi="Times New Roman" w:cs="Times New Roman"/>
                <w:sz w:val="21"/>
                <w:szCs w:val="21"/>
              </w:rPr>
              <w:t>L3 filtering formula</w:t>
            </w:r>
            <w:r>
              <w:rPr>
                <w:rFonts w:hint="eastAsia" w:ascii="Times New Roman" w:hAnsi="Times New Roman" w:eastAsia="等线" w:cs="Times New Roman"/>
                <w:bCs/>
                <w:iCs/>
                <w:sz w:val="20"/>
                <w:szCs w:val="20"/>
                <w:vertAlign w:val="baseline"/>
                <w:lang w:val="en-US" w:eastAsia="zh-CN"/>
              </w:rPr>
              <w:t xml:space="preserve"> with filtering coefficient configured, and TE has no such information  </w:t>
            </w:r>
          </w:p>
        </w:tc>
        <w:tc>
          <w:tcPr>
            <w:tcW w:w="3595" w:type="dxa"/>
          </w:tcPr>
          <w:p w14:paraId="6D31A01C">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jc w:val="center"/>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N/A</w:t>
            </w:r>
          </w:p>
        </w:tc>
      </w:tr>
      <w:tr w14:paraId="21408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146F0B70">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iCs/>
                <w:sz w:val="20"/>
                <w:szCs w:val="20"/>
                <w:vertAlign w:val="baseline"/>
                <w:lang w:val="en-US" w:eastAsia="zh-CN"/>
              </w:rPr>
            </w:pPr>
            <w:r>
              <w:rPr>
                <w:rFonts w:hint="default" w:ascii="Times New Roman" w:hAnsi="Times New Roman" w:eastAsia="Yu Mincho" w:cs="Times New Roman"/>
                <w:b/>
                <w:bCs/>
                <w:sz w:val="20"/>
                <w:szCs w:val="20"/>
                <w:highlight w:val="none"/>
              </w:rPr>
              <w:t>Impact of L</w:t>
            </w:r>
            <w:r>
              <w:rPr>
                <w:rFonts w:hint="eastAsia" w:ascii="Times New Roman" w:hAnsi="Times New Roman" w:cs="Times New Roman"/>
                <w:b/>
                <w:bCs/>
                <w:sz w:val="20"/>
                <w:szCs w:val="20"/>
                <w:highlight w:val="none"/>
                <w:lang w:val="en-US" w:eastAsia="zh-CN"/>
              </w:rPr>
              <w:t>1</w:t>
            </w:r>
            <w:r>
              <w:rPr>
                <w:rFonts w:hint="default" w:ascii="Times New Roman" w:hAnsi="Times New Roman" w:eastAsia="Yu Mincho" w:cs="Times New Roman"/>
                <w:b/>
                <w:bCs/>
                <w:sz w:val="20"/>
                <w:szCs w:val="20"/>
                <w:highlight w:val="none"/>
              </w:rPr>
              <w:t xml:space="preserve"> filtering</w:t>
            </w:r>
          </w:p>
        </w:tc>
        <w:tc>
          <w:tcPr>
            <w:tcW w:w="3780" w:type="dxa"/>
          </w:tcPr>
          <w:p w14:paraId="1A7685C0">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How to perform L1 filtering, e,g, the number of samples, whether sliding or non-sliding filtering in use, is up to UE implementation, and TE has no such information </w:t>
            </w:r>
          </w:p>
        </w:tc>
        <w:tc>
          <w:tcPr>
            <w:tcW w:w="3595" w:type="dxa"/>
          </w:tcPr>
          <w:p w14:paraId="5FEF60DA">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jc w:val="center"/>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N/A</w:t>
            </w:r>
          </w:p>
        </w:tc>
      </w:tr>
      <w:tr w14:paraId="052D9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46EEE2D8">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
                <w:bCs/>
                <w:iCs/>
                <w:sz w:val="20"/>
                <w:szCs w:val="20"/>
                <w:vertAlign w:val="baseline"/>
                <w:lang w:val="en-US" w:eastAsia="zh-CN"/>
              </w:rPr>
            </w:pPr>
            <w:r>
              <w:rPr>
                <w:rFonts w:hint="eastAsia" w:ascii="Times New Roman" w:hAnsi="Times New Roman" w:eastAsia="等线" w:cs="Times New Roman"/>
                <w:b/>
                <w:bCs/>
                <w:iCs/>
                <w:sz w:val="20"/>
                <w:szCs w:val="20"/>
                <w:vertAlign w:val="baseline"/>
                <w:lang w:val="en-US" w:eastAsia="zh-CN"/>
              </w:rPr>
              <w:t>Timing window</w:t>
            </w:r>
          </w:p>
        </w:tc>
        <w:tc>
          <w:tcPr>
            <w:tcW w:w="3780" w:type="dxa"/>
          </w:tcPr>
          <w:p w14:paraId="357E0206">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jc w:val="center"/>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N/A</w:t>
            </w:r>
          </w:p>
        </w:tc>
        <w:tc>
          <w:tcPr>
            <w:tcW w:w="3595" w:type="dxa"/>
          </w:tcPr>
          <w:p w14:paraId="7DB3FE89">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For Case B (target goal is to reduce measurement overhead), the time instance in prediction window will not be measured, which means UE cannot measure and report the ground truth.</w:t>
            </w:r>
          </w:p>
          <w:p w14:paraId="386830A5">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drawing>
                <wp:inline distT="0" distB="0" distL="114300" distR="114300">
                  <wp:extent cx="1987550" cy="9144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1987550" cy="914400"/>
                          </a:xfrm>
                          <a:prstGeom prst="rect">
                            <a:avLst/>
                          </a:prstGeom>
                          <a:noFill/>
                          <a:ln>
                            <a:noFill/>
                          </a:ln>
                        </pic:spPr>
                      </pic:pic>
                    </a:graphicData>
                  </a:graphic>
                </wp:inline>
              </w:drawing>
            </w:r>
            <w:r>
              <w:rPr>
                <w:rFonts w:hint="eastAsia" w:ascii="Times New Roman" w:hAnsi="Times New Roman" w:eastAsia="等线" w:cs="Times New Roman"/>
                <w:bCs/>
                <w:iCs/>
                <w:sz w:val="20"/>
                <w:szCs w:val="20"/>
                <w:vertAlign w:val="baseline"/>
                <w:lang w:val="en-US" w:eastAsia="zh-CN"/>
              </w:rPr>
              <w:t xml:space="preserve"> </w:t>
            </w:r>
          </w:p>
        </w:tc>
      </w:tr>
      <w:tr w14:paraId="2755C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231E3E61">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
                <w:bCs/>
                <w:iCs/>
                <w:sz w:val="20"/>
                <w:szCs w:val="20"/>
                <w:vertAlign w:val="baseline"/>
                <w:lang w:val="en-US" w:eastAsia="zh-CN"/>
              </w:rPr>
            </w:pPr>
            <w:r>
              <w:rPr>
                <w:rFonts w:hint="eastAsia" w:ascii="Times New Roman" w:hAnsi="Times New Roman" w:cs="Times New Roman"/>
                <w:b/>
                <w:bCs/>
                <w:sz w:val="20"/>
                <w:szCs w:val="20"/>
                <w:highlight w:val="none"/>
                <w:lang w:val="en-US" w:eastAsia="zh-CN"/>
              </w:rPr>
              <w:t>Channel condition</w:t>
            </w:r>
          </w:p>
        </w:tc>
        <w:tc>
          <w:tcPr>
            <w:tcW w:w="3780" w:type="dxa"/>
            <w:shd w:val="clear" w:color="auto" w:fill="auto"/>
            <w:vAlign w:val="top"/>
          </w:tcPr>
          <w:p w14:paraId="053C77CC">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firstLine="0" w:firstLineChars="0"/>
              <w:jc w:val="center"/>
              <w:textAlignment w:val="auto"/>
              <w:rPr>
                <w:rFonts w:hint="eastAsia" w:ascii="Times New Roman" w:hAnsi="Times New Roman" w:eastAsia="等线" w:cs="Times New Roman"/>
                <w:bCs/>
                <w:iCs/>
                <w:kern w:val="0"/>
                <w:sz w:val="20"/>
                <w:szCs w:val="20"/>
                <w:vertAlign w:val="baseline"/>
                <w:lang w:val="en-US" w:eastAsia="zh-CN" w:bidi="ar-SA"/>
              </w:rPr>
            </w:pPr>
            <w:r>
              <w:rPr>
                <w:rFonts w:hint="eastAsia" w:ascii="Times New Roman" w:hAnsi="Times New Roman" w:eastAsia="等线" w:cs="Times New Roman"/>
                <w:bCs/>
                <w:iCs/>
                <w:sz w:val="20"/>
                <w:szCs w:val="20"/>
                <w:vertAlign w:val="baseline"/>
                <w:lang w:val="en-US" w:eastAsia="zh-CN"/>
              </w:rPr>
              <w:t>N/A</w:t>
            </w:r>
          </w:p>
        </w:tc>
        <w:tc>
          <w:tcPr>
            <w:tcW w:w="3595" w:type="dxa"/>
          </w:tcPr>
          <w:p w14:paraId="23766A67">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For fading channel, the channel condition at T1 to get ground truth and the channel condition at T2 to predict is different, which result in mismatch </w:t>
            </w:r>
          </w:p>
        </w:tc>
      </w:tr>
      <w:tr w14:paraId="764F3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78CF5E4A">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
                <w:bCs/>
                <w:iCs/>
                <w:sz w:val="20"/>
                <w:szCs w:val="20"/>
                <w:vertAlign w:val="baseline"/>
                <w:lang w:val="en-US" w:eastAsia="zh-CN"/>
              </w:rPr>
            </w:pPr>
            <w:r>
              <w:rPr>
                <w:rFonts w:hint="eastAsia" w:ascii="Times New Roman" w:hAnsi="Times New Roman" w:eastAsia="等线" w:cs="Times New Roman"/>
                <w:b/>
                <w:bCs/>
                <w:iCs/>
                <w:sz w:val="20"/>
                <w:szCs w:val="20"/>
                <w:vertAlign w:val="baseline"/>
                <w:lang w:val="en-US" w:eastAsia="zh-CN"/>
              </w:rPr>
              <w:t>UE cheating issue</w:t>
            </w:r>
          </w:p>
        </w:tc>
        <w:tc>
          <w:tcPr>
            <w:tcW w:w="3780" w:type="dxa"/>
            <w:shd w:val="clear" w:color="auto" w:fill="auto"/>
            <w:vAlign w:val="top"/>
          </w:tcPr>
          <w:p w14:paraId="6374A768">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firstLine="0" w:firstLineChars="0"/>
              <w:jc w:val="center"/>
              <w:textAlignment w:val="auto"/>
              <w:rPr>
                <w:rFonts w:hint="eastAsia" w:ascii="Times New Roman" w:hAnsi="Times New Roman" w:eastAsia="等线" w:cs="Times New Roman"/>
                <w:bCs/>
                <w:iCs/>
                <w:kern w:val="0"/>
                <w:sz w:val="20"/>
                <w:szCs w:val="20"/>
                <w:vertAlign w:val="baseline"/>
                <w:lang w:val="en-US" w:eastAsia="zh-CN" w:bidi="ar-SA"/>
              </w:rPr>
            </w:pPr>
            <w:r>
              <w:rPr>
                <w:rFonts w:hint="eastAsia" w:ascii="Times New Roman" w:hAnsi="Times New Roman" w:eastAsia="等线" w:cs="Times New Roman"/>
                <w:bCs/>
                <w:iCs/>
                <w:sz w:val="20"/>
                <w:szCs w:val="20"/>
                <w:vertAlign w:val="baseline"/>
                <w:lang w:val="en-US" w:eastAsia="zh-CN"/>
              </w:rPr>
              <w:t>N/A</w:t>
            </w:r>
          </w:p>
        </w:tc>
        <w:tc>
          <w:tcPr>
            <w:tcW w:w="3595" w:type="dxa"/>
          </w:tcPr>
          <w:p w14:paraId="48F3A961">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Since both the ground truth and predicted value are reported by UE, there may be cheating issue</w:t>
            </w:r>
          </w:p>
        </w:tc>
      </w:tr>
    </w:tbl>
    <w:p w14:paraId="3F046DF0">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Cs/>
          <w:iCs/>
          <w:sz w:val="20"/>
          <w:szCs w:val="20"/>
          <w:lang w:val="en-US" w:eastAsia="zh-CN"/>
        </w:rPr>
      </w:pPr>
    </w:p>
    <w:p w14:paraId="31082829">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the discussion on inter-frequency prediction , the impact of cluster approach is considered. Before we go to the impact, it is necessary to allign the understanding of cluster approach.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72A1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42C4C56">
            <w:pPr>
              <w:rPr>
                <w:rFonts w:hint="default" w:ascii="Times New Roman" w:hAnsi="Times New Roman" w:eastAsia="MS Mincho" w:cs="Times New Roman"/>
                <w:b/>
                <w:bCs/>
                <w:sz w:val="20"/>
                <w:szCs w:val="20"/>
                <w:u w:val="single"/>
                <w:lang w:eastAsia="zh-CN"/>
              </w:rPr>
            </w:pPr>
            <w:r>
              <w:rPr>
                <w:rFonts w:hint="default" w:ascii="Times New Roman" w:hAnsi="Times New Roman" w:eastAsia="MS Mincho" w:cs="Times New Roman"/>
                <w:b/>
                <w:bCs/>
                <w:sz w:val="20"/>
                <w:szCs w:val="20"/>
                <w:u w:val="single"/>
                <w:lang w:eastAsia="zh-CN"/>
              </w:rPr>
              <w:t>Issue 2-1-8: Inter-frequency prediction scenario</w:t>
            </w:r>
          </w:p>
          <w:p w14:paraId="25CA1BA4">
            <w:pPr>
              <w:tabs>
                <w:tab w:val="left" w:pos="840"/>
              </w:tabs>
              <w:spacing w:after="120"/>
              <w:rPr>
                <w:rFonts w:hint="default" w:ascii="Times New Roman" w:hAnsi="Times New Roman" w:cs="Times New Roman"/>
                <w:color w:val="000000" w:themeColor="text1"/>
                <w:sz w:val="20"/>
                <w:szCs w:val="20"/>
                <w:highlight w:val="green"/>
                <w:lang w:eastAsia="zh-CN"/>
                <w14:textFill>
                  <w14:solidFill>
                    <w14:schemeClr w14:val="tx1"/>
                  </w14:solidFill>
                </w14:textFill>
              </w:rPr>
            </w:pPr>
            <w:r>
              <w:rPr>
                <w:rFonts w:hint="default" w:ascii="Times New Roman" w:hAnsi="Times New Roman" w:cs="Times New Roman"/>
                <w:color w:val="000000" w:themeColor="text1"/>
                <w:sz w:val="20"/>
                <w:szCs w:val="20"/>
                <w:highlight w:val="green"/>
                <w:lang w:eastAsia="zh-CN"/>
                <w14:textFill>
                  <w14:solidFill>
                    <w14:schemeClr w14:val="tx1"/>
                  </w14:solidFill>
                </w14:textFill>
              </w:rPr>
              <w:t>Agreement:</w:t>
            </w:r>
          </w:p>
          <w:p w14:paraId="5593300E">
            <w:pPr>
              <w:numPr>
                <w:ilvl w:val="0"/>
                <w:numId w:val="4"/>
              </w:numPr>
              <w:spacing w:after="120"/>
              <w:rPr>
                <w:rFonts w:hint="default" w:ascii="Times New Roman" w:hAnsi="Times New Roman" w:eastAsia="Yu Mincho" w:cs="Times New Roman"/>
                <w:sz w:val="20"/>
                <w:szCs w:val="20"/>
                <w:highlight w:val="green"/>
              </w:rPr>
            </w:pPr>
            <w:r>
              <w:rPr>
                <w:rFonts w:hint="default" w:ascii="Times New Roman" w:hAnsi="Times New Roman" w:eastAsia="Yu Mincho" w:cs="Times New Roman"/>
                <w:sz w:val="20"/>
                <w:szCs w:val="20"/>
                <w:highlight w:val="green"/>
              </w:rPr>
              <w:t xml:space="preserve">RAN4 to study the factors potentially impacting RSRP prediction accuracy for inter-frequency prediction scenario considering at least the following aspects: </w:t>
            </w:r>
          </w:p>
          <w:p w14:paraId="0AA75BE3">
            <w:pPr>
              <w:numPr>
                <w:ilvl w:val="1"/>
                <w:numId w:val="4"/>
              </w:numPr>
              <w:spacing w:after="120"/>
              <w:rPr>
                <w:rFonts w:hint="default" w:ascii="Times New Roman" w:hAnsi="Times New Roman" w:eastAsia="Yu Mincho" w:cs="Times New Roman"/>
                <w:sz w:val="20"/>
                <w:szCs w:val="20"/>
                <w:highlight w:val="green"/>
              </w:rPr>
            </w:pPr>
            <w:r>
              <w:rPr>
                <w:rFonts w:hint="default" w:ascii="Times New Roman" w:hAnsi="Times New Roman" w:eastAsia="Yu Mincho" w:cs="Times New Roman"/>
                <w:sz w:val="20"/>
                <w:szCs w:val="20"/>
                <w:highlight w:val="green"/>
              </w:rPr>
              <w:t>the side condition of frequency prediction (e.g., EPRE difference)</w:t>
            </w:r>
          </w:p>
          <w:p w14:paraId="517CBBED">
            <w:pPr>
              <w:numPr>
                <w:ilvl w:val="1"/>
                <w:numId w:val="4"/>
              </w:numPr>
              <w:spacing w:after="120"/>
              <w:rPr>
                <w:rFonts w:hint="default" w:ascii="Times New Roman" w:hAnsi="Times New Roman" w:eastAsia="Yu Mincho" w:cs="Times New Roman"/>
                <w:sz w:val="20"/>
                <w:szCs w:val="20"/>
                <w:highlight w:val="green"/>
              </w:rPr>
            </w:pPr>
            <w:r>
              <w:rPr>
                <w:rFonts w:hint="default" w:ascii="Times New Roman" w:hAnsi="Times New Roman" w:eastAsia="Yu Mincho" w:cs="Times New Roman"/>
                <w:sz w:val="20"/>
                <w:szCs w:val="20"/>
                <w:highlight w:val="green"/>
              </w:rPr>
              <w:t>the impact of correlation coefficient between measured and predicted frequency layers</w:t>
            </w:r>
          </w:p>
          <w:p w14:paraId="3942503C">
            <w:pPr>
              <w:numPr>
                <w:ilvl w:val="1"/>
                <w:numId w:val="4"/>
              </w:numPr>
              <w:spacing w:after="120"/>
              <w:rPr>
                <w:rFonts w:hint="default" w:ascii="Times New Roman" w:hAnsi="Times New Roman" w:eastAsia="Yu Mincho" w:cs="Times New Roman"/>
                <w:sz w:val="20"/>
                <w:szCs w:val="20"/>
                <w:highlight w:val="green"/>
              </w:rPr>
            </w:pPr>
            <w:r>
              <w:rPr>
                <w:rFonts w:hint="default" w:ascii="Times New Roman" w:hAnsi="Times New Roman" w:eastAsia="Yu Mincho" w:cs="Times New Roman"/>
                <w:sz w:val="20"/>
                <w:szCs w:val="20"/>
                <w:highlight w:val="green"/>
              </w:rPr>
              <w:t xml:space="preserve">impact of cluster approach, e.g., </w:t>
            </w:r>
          </w:p>
          <w:p w14:paraId="400CDF2B">
            <w:pPr>
              <w:pStyle w:val="12"/>
              <w:numPr>
                <w:ilvl w:val="2"/>
                <w:numId w:val="4"/>
              </w:numPr>
              <w:spacing w:before="120" w:after="120"/>
              <w:ind w:firstLineChars="0"/>
              <w:rPr>
                <w:rFonts w:hint="default" w:ascii="Times New Roman" w:hAnsi="Times New Roman" w:eastAsia="Yu Mincho" w:cs="Times New Roman"/>
                <w:sz w:val="20"/>
                <w:szCs w:val="20"/>
                <w:highlight w:val="green"/>
              </w:rPr>
            </w:pPr>
            <w:r>
              <w:rPr>
                <w:rFonts w:hint="default" w:ascii="Times New Roman" w:hAnsi="Times New Roman" w:eastAsia="Yu Mincho" w:cs="Times New Roman"/>
                <w:sz w:val="20"/>
                <w:szCs w:val="20"/>
                <w:highlight w:val="green"/>
              </w:rPr>
              <w:t>When measurement from single cell in one carrier frequency is used by the UE as an input to predict the RRM measurement for the intra-FR and co-located cell in another carrier frequency.</w:t>
            </w:r>
          </w:p>
          <w:p w14:paraId="1899E332">
            <w:pPr>
              <w:pStyle w:val="12"/>
              <w:numPr>
                <w:ilvl w:val="2"/>
                <w:numId w:val="4"/>
              </w:numPr>
              <w:ind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Yu Mincho" w:cs="Times New Roman"/>
                <w:sz w:val="20"/>
                <w:szCs w:val="20"/>
                <w:highlight w:val="green"/>
              </w:rPr>
              <w:t>When measurement from a group of cells in one carrier frequency is used by the UE as an input to predict the RRM measurement for the intra-FR and co-located cell in another carrier frequency.</w:t>
            </w:r>
          </w:p>
        </w:tc>
      </w:tr>
    </w:tbl>
    <w:p w14:paraId="0AD64CE5">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Cs/>
          <w:iCs/>
          <w:sz w:val="20"/>
          <w:szCs w:val="20"/>
          <w:lang w:val="en-US" w:eastAsia="zh-CN"/>
        </w:rPr>
      </w:pPr>
    </w:p>
    <w:p w14:paraId="18DB66EA">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According to RAN2 agreements, in cluster approach the model takes measurements from more than one cell as inputs. With this agreements, it means that the case that measurement from single cell in one carrier frequency is used by the UE as an input to predict the RRM measurement is not considerd.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732F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10E7A78">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
                <w:bCs w:val="0"/>
                <w:iCs/>
                <w:sz w:val="20"/>
                <w:szCs w:val="20"/>
                <w:vertAlign w:val="baseline"/>
                <w:lang w:val="en-US" w:eastAsia="zh-CN"/>
              </w:rPr>
            </w:pPr>
            <w:r>
              <w:rPr>
                <w:rFonts w:hint="eastAsia" w:ascii="Times New Roman" w:hAnsi="Times New Roman" w:eastAsia="等线" w:cs="Times New Roman"/>
                <w:b/>
                <w:bCs w:val="0"/>
                <w:iCs/>
                <w:sz w:val="20"/>
                <w:szCs w:val="20"/>
                <w:vertAlign w:val="baseline"/>
                <w:lang w:val="en-US" w:eastAsia="zh-CN"/>
              </w:rPr>
              <w:t>RAN2 agreements in RAN2#128 meeting</w:t>
            </w:r>
          </w:p>
          <w:p w14:paraId="42315F3E">
            <w:pPr>
              <w:pStyle w:val="12"/>
              <w:keepNext w:val="0"/>
              <w:keepLines w:val="0"/>
              <w:pageBreakBefore w:val="0"/>
              <w:widowControl/>
              <w:numPr>
                <w:ilvl w:val="0"/>
                <w:numId w:val="8"/>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The prediction accuracy for intra-frequency temporal domain case B reduces as MRRT increases.  </w:t>
            </w:r>
          </w:p>
          <w:p w14:paraId="67E27EE5">
            <w:pPr>
              <w:pStyle w:val="12"/>
              <w:keepNext w:val="0"/>
              <w:keepLines w:val="0"/>
              <w:pageBreakBefore w:val="0"/>
              <w:widowControl/>
              <w:numPr>
                <w:ilvl w:val="0"/>
                <w:numId w:val="8"/>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For temporal domain case B, with the same MRRT, different skipping pattern can provide different prediction performance.  Companies may report the adopted skipping pattern when providing simulation results.   Companies are not required to run new simulations but can clarify in the spreadsheet.    We can capture in the TR how the skipping patter affects the performance.  </w:t>
            </w:r>
          </w:p>
          <w:p w14:paraId="1FBFBA7C">
            <w:pPr>
              <w:pStyle w:val="12"/>
              <w:keepNext w:val="0"/>
              <w:keepLines w:val="0"/>
              <w:pageBreakBefore w:val="0"/>
              <w:widowControl/>
              <w:numPr>
                <w:ilvl w:val="0"/>
                <w:numId w:val="8"/>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For the inter-frequency prediction, the evaluation results show that the higher the correlation coefficient is between two frequency layers, the higher the prediction accuracy.   FFS on observations on low correlations.  </w:t>
            </w:r>
          </w:p>
          <w:p w14:paraId="2BCDE45B">
            <w:pPr>
              <w:pStyle w:val="12"/>
              <w:keepNext w:val="0"/>
              <w:keepLines w:val="0"/>
              <w:pageBreakBefore w:val="0"/>
              <w:widowControl/>
              <w:numPr>
                <w:ilvl w:val="0"/>
                <w:numId w:val="8"/>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For inter-frequency, cluster as input (i.e. measurements from different cells as inputs )can improve the prediction accuracy than single cell as input.    For temporal domain, the gains are unclear.   RAN2 will focus on frequency domain for cluster based approach.   </w:t>
            </w:r>
          </w:p>
          <w:p w14:paraId="4074B5F2">
            <w:pPr>
              <w:pStyle w:val="12"/>
              <w:keepNext w:val="0"/>
              <w:keepLines w:val="0"/>
              <w:pageBreakBefore w:val="0"/>
              <w:widowControl/>
              <w:numPr>
                <w:ilvl w:val="0"/>
                <w:numId w:val="8"/>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highlight w:val="cyan"/>
                <w:vertAlign w:val="baseline"/>
                <w:lang w:val="en-US" w:eastAsia="zh-CN"/>
              </w:rPr>
              <w:t>In cluster approach the model takes measurements from more than one cell as inputs.</w:t>
            </w:r>
          </w:p>
        </w:tc>
      </w:tr>
    </w:tbl>
    <w:p w14:paraId="4017F155">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Cs/>
          <w:iCs/>
          <w:sz w:val="20"/>
          <w:szCs w:val="20"/>
          <w:lang w:val="en-US" w:eastAsia="zh-CN"/>
        </w:rPr>
      </w:pPr>
    </w:p>
    <w:p w14:paraId="035002C6">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Proposal 4: for cluster approach, it is proposed to follow RAN2 agreements that model takes measurements from more than one cell as inputs.</w:t>
      </w:r>
    </w:p>
    <w:p w14:paraId="19B3C54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RAN2 agreed the KPIs about measurement reduction rate, which is defined in the temporal domain (called MRRT) by assuming same length of measurement time instances and spatial domain respectively(called MRRS). </w:t>
      </w:r>
    </w:p>
    <w:p w14:paraId="3E501AE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MRRT = skipped measurement time instances / total measurement time instances</w:t>
      </w:r>
    </w:p>
    <w:p w14:paraId="191DBE0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MRRS = skipped beams to be measured/ total beams to be measured</w:t>
      </w:r>
    </w:p>
    <w:p w14:paraId="35DB793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legacy, there is no RAN4 requirements on measurement reduction, whether to introduce related requirements for AI/ML based mobility can be further discussed.</w:t>
      </w:r>
    </w:p>
    <w:p w14:paraId="1E192C2D">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it is proposed to discuss whether to introduce RAN4 requirements about MRRT and MRRS.</w:t>
      </w:r>
    </w:p>
    <w:p w14:paraId="774D2B0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Another consideration is that the measurement delay requirements may also need to be newly defined for some scenarios. Scenario 3 is FR1 to FR1 inter-frequency inter-cell prediction, for example, prediction from low-frequency cell to high-frequency cell, which means that not all configured MOs need to be measuerd. The legacy measurement delay is scaled with the number of MOs, which need to be updated to only consider the actually measured frequency layers. As for the intra-frequency temporal domain prediction, e.g. case B, the lagacy measurement delay also need to be updated. In legacy, SMTC or MGRP is in use in the measurement delay requirements, while for tempory domain prediction, UE only measure subset of SMTC/MGRP, and predict the results of other measurement occasions. </w:t>
      </w:r>
    </w:p>
    <w:p w14:paraId="5A84EFA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for RRM measurement prediction, the measurement delay requirements need to be defined/updated</w:t>
      </w:r>
    </w:p>
    <w:p w14:paraId="1F944F9C">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intra-frequency temporal domain prediction, UE will skip some measurement occasions, which means that only subset of measurement occasions are measured, as a result, SMTC and/or MGRP cannot be directly used in the measurement delay requirements as legacy</w:t>
      </w:r>
    </w:p>
    <w:p w14:paraId="523916BB">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b/>
          <w:bCs w:val="0"/>
          <w:i/>
          <w:iCs w:val="0"/>
          <w:sz w:val="20"/>
          <w:szCs w:val="20"/>
          <w:lang w:val="en-US" w:eastAsia="zh-CN"/>
        </w:rPr>
        <w:t>For inter-frequency inter-cell frequency domain prediction, not all configured MOs need to be measuerd, which means that only the actually measured frequency layers are considered in the measurement delay requirements</w:t>
      </w:r>
    </w:p>
    <w:p w14:paraId="75DB2688">
      <w:pPr>
        <w:spacing w:after="180" w:line="240" w:lineRule="exact"/>
        <w:rPr>
          <w:rFonts w:hint="default" w:ascii="Times New Roman" w:hAnsi="Times New Roman" w:eastAsia="等线"/>
          <w:bCs/>
          <w:iCs/>
          <w:sz w:val="20"/>
          <w:szCs w:val="20"/>
          <w:lang w:val="en-US" w:eastAsia="zh-CN"/>
        </w:rPr>
      </w:pPr>
    </w:p>
    <w:bookmarkEnd w:id="7"/>
    <w:bookmarkEnd w:id="8"/>
    <w:p w14:paraId="2F63EDF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 </w:t>
      </w:r>
      <w:r>
        <w:rPr>
          <w:rFonts w:hint="eastAsia" w:ascii="Times New Roman" w:hAnsi="Times New Roman"/>
          <w:sz w:val="20"/>
          <w:szCs w:val="20"/>
          <w:lang w:val="en-US" w:eastAsia="zh-CN"/>
        </w:rPr>
        <w:t>RAN4 impacts for RRM measurement prediction</w:t>
      </w:r>
      <w:r>
        <w:rPr>
          <w:rFonts w:hint="eastAsia" w:ascii="Times New Roman" w:hAnsi="Times New Roman"/>
          <w:sz w:val="20"/>
          <w:szCs w:val="20"/>
        </w:rPr>
        <w:t>. The proposals are:</w:t>
      </w:r>
    </w:p>
    <w:p w14:paraId="6247B62B">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宋体" w:cs="Times New Roman"/>
          <w:b/>
          <w:bCs/>
          <w:i/>
          <w:iCs/>
          <w:sz w:val="20"/>
          <w:szCs w:val="20"/>
          <w:highlight w:val="none"/>
          <w:lang w:val="en-US" w:eastAsia="zh-CN"/>
        </w:rPr>
        <w:t xml:space="preserve">Proposal 1: for accuracy </w:t>
      </w:r>
      <w:r>
        <w:rPr>
          <w:rFonts w:hint="default" w:ascii="Times New Roman" w:hAnsi="Times New Roman" w:eastAsia="Yu Mincho" w:cs="Times New Roman"/>
          <w:b/>
          <w:bCs/>
          <w:i/>
          <w:iCs/>
          <w:sz w:val="20"/>
          <w:szCs w:val="20"/>
          <w:highlight w:val="none"/>
        </w:rPr>
        <w:t>of predicted relative L3-RSRP</w:t>
      </w:r>
      <w:r>
        <w:rPr>
          <w:rFonts w:hint="eastAsia" w:ascii="Times New Roman" w:hAnsi="Times New Roman" w:eastAsia="宋体" w:cs="Times New Roman"/>
          <w:b/>
          <w:bCs/>
          <w:i/>
          <w:iCs/>
          <w:sz w:val="20"/>
          <w:szCs w:val="20"/>
          <w:highlight w:val="none"/>
          <w:lang w:val="en-US" w:eastAsia="zh-CN"/>
        </w:rPr>
        <w:t xml:space="preserve"> </w:t>
      </w:r>
      <w:r>
        <w:rPr>
          <w:rFonts w:hint="eastAsia" w:ascii="Times New Roman" w:hAnsi="Times New Roman" w:cs="Times New Roman"/>
          <w:b/>
          <w:bCs/>
          <w:i/>
          <w:iCs/>
          <w:sz w:val="20"/>
          <w:szCs w:val="20"/>
          <w:highlight w:val="none"/>
          <w:lang w:val="en-US" w:eastAsia="zh-CN"/>
        </w:rPr>
        <w:t xml:space="preserve">for </w:t>
      </w:r>
      <w:r>
        <w:rPr>
          <w:rFonts w:hint="eastAsia" w:ascii="Times New Roman" w:hAnsi="Times New Roman" w:eastAsia="宋体" w:cs="Times New Roman"/>
          <w:b/>
          <w:bCs/>
          <w:i/>
          <w:iCs/>
          <w:sz w:val="20"/>
          <w:szCs w:val="20"/>
          <w:highlight w:val="none"/>
          <w:lang w:val="en-US" w:eastAsia="zh-CN"/>
        </w:rPr>
        <w:t>inter-frequency</w:t>
      </w:r>
      <w:r>
        <w:rPr>
          <w:rFonts w:hint="eastAsia" w:ascii="Times New Roman" w:hAnsi="Times New Roman" w:cs="Times New Roman"/>
          <w:b/>
          <w:bCs/>
          <w:i/>
          <w:iCs/>
          <w:sz w:val="20"/>
          <w:szCs w:val="20"/>
          <w:highlight w:val="none"/>
          <w:lang w:val="en-US" w:eastAsia="zh-CN"/>
        </w:rPr>
        <w:t xml:space="preserve">, it is proposed that the </w:t>
      </w:r>
      <w:r>
        <w:rPr>
          <w:rFonts w:hint="default" w:ascii="Times New Roman" w:hAnsi="Times New Roman" w:eastAsia="Yu Mincho" w:cs="Times New Roman"/>
          <w:b/>
          <w:bCs/>
          <w:i/>
          <w:iCs/>
          <w:sz w:val="20"/>
          <w:szCs w:val="20"/>
          <w:highlight w:val="none"/>
        </w:rPr>
        <w:t>reported RSRP of cell2 can be predicted or measured</w:t>
      </w:r>
      <w:r>
        <w:rPr>
          <w:rFonts w:hint="eastAsia" w:ascii="Times New Roman" w:hAnsi="Times New Roman" w:eastAsia="宋体" w:cs="Times New Roman"/>
          <w:b/>
          <w:bCs/>
          <w:i/>
          <w:iCs/>
          <w:sz w:val="20"/>
          <w:szCs w:val="20"/>
          <w:highlight w:val="none"/>
          <w:lang w:val="en-US" w:eastAsia="zh-CN"/>
        </w:rPr>
        <w:t>.</w:t>
      </w:r>
      <w:r>
        <w:rPr>
          <w:rFonts w:hint="eastAsia" w:ascii="Times New Roman" w:hAnsi="Times New Roman" w:cs="Times New Roman"/>
          <w:b/>
          <w:bCs/>
          <w:i/>
          <w:iCs/>
          <w:sz w:val="20"/>
          <w:szCs w:val="20"/>
          <w:highlight w:val="none"/>
          <w:lang w:val="en-US" w:eastAsia="zh-CN"/>
        </w:rPr>
        <w:t xml:space="preserve">  </w:t>
      </w:r>
      <w:r>
        <w:rPr>
          <w:rFonts w:hint="eastAsia" w:ascii="Times New Roman" w:hAnsi="Times New Roman" w:eastAsia="宋体" w:cs="Times New Roman"/>
          <w:b/>
          <w:bCs/>
          <w:i/>
          <w:iCs/>
          <w:sz w:val="20"/>
          <w:szCs w:val="20"/>
          <w:highlight w:val="none"/>
          <w:lang w:val="en-US" w:eastAsia="zh-CN"/>
        </w:rPr>
        <w:t xml:space="preserve"> </w:t>
      </w:r>
      <w:r>
        <w:rPr>
          <w:rFonts w:hint="eastAsia" w:ascii="Times New Roman" w:hAnsi="Times New Roman" w:eastAsia="等线" w:cs="Times New Roman"/>
          <w:b/>
          <w:bCs/>
          <w:i/>
          <w:iCs/>
          <w:sz w:val="20"/>
          <w:szCs w:val="20"/>
          <w:lang w:val="en-US" w:eastAsia="zh-CN"/>
        </w:rPr>
        <w:t xml:space="preserve"> </w:t>
      </w:r>
    </w:p>
    <w:p w14:paraId="157CAF4E">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2: whether to consider Top K/N (%), N&gt;=1 as the performance metrics for AI/ML-based L3-RSRP prediction is pending on whether the case that model output is cell ID is considered in RAN2.</w:t>
      </w:r>
    </w:p>
    <w:p w14:paraId="3844219A">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Table 2 provide the comparison between Alternative 1 and Alternative 2 for ground truth definition for FR1.</w:t>
      </w:r>
    </w:p>
    <w:p w14:paraId="4A2CD9AD">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jc w:val="center"/>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Table 2 Comparison between Alternative 1 and Alternative 2 for ground truth definition for FR1</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6"/>
        <w:gridCol w:w="3780"/>
        <w:gridCol w:w="3595"/>
      </w:tblGrid>
      <w:tr w14:paraId="6FCC7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74DE8B8F">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val="0"/>
                <w:iCs/>
                <w:sz w:val="20"/>
                <w:szCs w:val="20"/>
                <w:vertAlign w:val="baseline"/>
                <w:lang w:val="en-US" w:eastAsia="zh-CN"/>
              </w:rPr>
            </w:pPr>
          </w:p>
        </w:tc>
        <w:tc>
          <w:tcPr>
            <w:tcW w:w="3780" w:type="dxa"/>
          </w:tcPr>
          <w:p w14:paraId="5BCBC0B3">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Alternative 1</w:t>
            </w:r>
          </w:p>
          <w:p w14:paraId="5810EF54">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val="0"/>
                <w:iCs/>
                <w:sz w:val="20"/>
                <w:szCs w:val="20"/>
                <w:vertAlign w:val="baseline"/>
                <w:lang w:val="en-US" w:eastAsia="zh-CN"/>
              </w:rPr>
            </w:pPr>
            <w:r>
              <w:rPr>
                <w:rFonts w:hint="eastAsia" w:ascii="Times New Roman" w:hAnsi="Times New Roman" w:eastAsia="等线"/>
                <w:b/>
                <w:bCs w:val="0"/>
                <w:iCs/>
                <w:sz w:val="20"/>
                <w:szCs w:val="20"/>
                <w:lang w:val="en-US" w:eastAsia="zh-CN"/>
              </w:rPr>
              <w:t xml:space="preserve"> (</w:t>
            </w:r>
            <w:r>
              <w:rPr>
                <w:rFonts w:hint="default" w:ascii="Times New Roman" w:hAnsi="Times New Roman" w:eastAsia="Yu Mincho" w:cs="Times New Roman"/>
                <w:b/>
                <w:bCs w:val="0"/>
                <w:sz w:val="20"/>
                <w:szCs w:val="20"/>
                <w:highlight w:val="none"/>
              </w:rPr>
              <w:t>Ground truth for FR1 will be based on the transmitted or reception power</w:t>
            </w:r>
            <w:r>
              <w:rPr>
                <w:rFonts w:hint="eastAsia" w:ascii="Times New Roman" w:hAnsi="Times New Roman" w:eastAsia="等线"/>
                <w:b/>
                <w:bCs w:val="0"/>
                <w:iCs/>
                <w:sz w:val="20"/>
                <w:szCs w:val="20"/>
                <w:lang w:val="en-US" w:eastAsia="zh-CN"/>
              </w:rPr>
              <w:t>)</w:t>
            </w:r>
          </w:p>
        </w:tc>
        <w:tc>
          <w:tcPr>
            <w:tcW w:w="3595" w:type="dxa"/>
          </w:tcPr>
          <w:p w14:paraId="1D543838">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Alternative 2</w:t>
            </w:r>
          </w:p>
          <w:p w14:paraId="3C789EF2">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val="0"/>
                <w:iCs/>
                <w:sz w:val="20"/>
                <w:szCs w:val="20"/>
                <w:vertAlign w:val="baseline"/>
                <w:lang w:val="en-US" w:eastAsia="zh-CN"/>
              </w:rPr>
            </w:pPr>
            <w:r>
              <w:rPr>
                <w:rFonts w:hint="eastAsia" w:ascii="Times New Roman" w:hAnsi="Times New Roman" w:eastAsia="等线"/>
                <w:b/>
                <w:bCs w:val="0"/>
                <w:iCs/>
                <w:sz w:val="20"/>
                <w:szCs w:val="20"/>
                <w:lang w:val="en-US" w:eastAsia="zh-CN"/>
              </w:rPr>
              <w:t xml:space="preserve"> (</w:t>
            </w:r>
            <w:r>
              <w:rPr>
                <w:rFonts w:hint="default" w:ascii="Times New Roman" w:hAnsi="Times New Roman" w:eastAsia="Yu Mincho" w:cs="Times New Roman"/>
                <w:b/>
                <w:bCs w:val="0"/>
                <w:sz w:val="20"/>
                <w:szCs w:val="20"/>
                <w:highlight w:val="none"/>
              </w:rPr>
              <w:t>Ground truth for FR1 will be based on the reported measurement value under certain conditions</w:t>
            </w:r>
            <w:r>
              <w:rPr>
                <w:rFonts w:hint="eastAsia" w:ascii="Times New Roman" w:hAnsi="Times New Roman" w:eastAsia="等线"/>
                <w:b/>
                <w:bCs w:val="0"/>
                <w:iCs/>
                <w:sz w:val="20"/>
                <w:szCs w:val="20"/>
                <w:lang w:val="en-US" w:eastAsia="zh-CN"/>
              </w:rPr>
              <w:t>)</w:t>
            </w:r>
          </w:p>
        </w:tc>
      </w:tr>
      <w:tr w14:paraId="4B68F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410C7E58">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iCs/>
                <w:sz w:val="20"/>
                <w:szCs w:val="20"/>
                <w:vertAlign w:val="baseline"/>
                <w:lang w:val="en-US" w:eastAsia="zh-CN"/>
              </w:rPr>
            </w:pPr>
            <w:r>
              <w:rPr>
                <w:rFonts w:hint="default" w:ascii="Times New Roman" w:hAnsi="Times New Roman" w:eastAsia="Yu Mincho" w:cs="Times New Roman"/>
                <w:b/>
                <w:bCs/>
                <w:sz w:val="20"/>
                <w:szCs w:val="20"/>
                <w:highlight w:val="none"/>
              </w:rPr>
              <w:t>Impact of L3 filtering</w:t>
            </w:r>
          </w:p>
        </w:tc>
        <w:tc>
          <w:tcPr>
            <w:tcW w:w="3780" w:type="dxa"/>
          </w:tcPr>
          <w:p w14:paraId="5312BE80">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If L3 filtering is considered, how to perform L3 filtering is based on </w:t>
            </w:r>
            <w:r>
              <w:rPr>
                <w:rFonts w:ascii="Times New Roman" w:hAnsi="Times New Roman" w:cs="Times New Roman"/>
                <w:sz w:val="21"/>
                <w:szCs w:val="21"/>
              </w:rPr>
              <w:t>L3 filtering formula</w:t>
            </w:r>
            <w:r>
              <w:rPr>
                <w:rFonts w:hint="eastAsia" w:ascii="Times New Roman" w:hAnsi="Times New Roman" w:eastAsia="等线" w:cs="Times New Roman"/>
                <w:bCs/>
                <w:iCs/>
                <w:sz w:val="20"/>
                <w:szCs w:val="20"/>
                <w:vertAlign w:val="baseline"/>
                <w:lang w:val="en-US" w:eastAsia="zh-CN"/>
              </w:rPr>
              <w:t xml:space="preserve"> with filtering coefficient configured, and TE has no such information  </w:t>
            </w:r>
          </w:p>
        </w:tc>
        <w:tc>
          <w:tcPr>
            <w:tcW w:w="3595" w:type="dxa"/>
          </w:tcPr>
          <w:p w14:paraId="503F0AF3">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jc w:val="center"/>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N/A</w:t>
            </w:r>
          </w:p>
        </w:tc>
      </w:tr>
      <w:tr w14:paraId="34757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788CB423">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iCs/>
                <w:sz w:val="20"/>
                <w:szCs w:val="20"/>
                <w:vertAlign w:val="baseline"/>
                <w:lang w:val="en-US" w:eastAsia="zh-CN"/>
              </w:rPr>
            </w:pPr>
            <w:r>
              <w:rPr>
                <w:rFonts w:hint="default" w:ascii="Times New Roman" w:hAnsi="Times New Roman" w:eastAsia="Yu Mincho" w:cs="Times New Roman"/>
                <w:b/>
                <w:bCs/>
                <w:sz w:val="20"/>
                <w:szCs w:val="20"/>
                <w:highlight w:val="none"/>
              </w:rPr>
              <w:t>Impact of L</w:t>
            </w:r>
            <w:r>
              <w:rPr>
                <w:rFonts w:hint="eastAsia" w:ascii="Times New Roman" w:hAnsi="Times New Roman" w:cs="Times New Roman"/>
                <w:b/>
                <w:bCs/>
                <w:sz w:val="20"/>
                <w:szCs w:val="20"/>
                <w:highlight w:val="none"/>
                <w:lang w:val="en-US" w:eastAsia="zh-CN"/>
              </w:rPr>
              <w:t>1</w:t>
            </w:r>
            <w:r>
              <w:rPr>
                <w:rFonts w:hint="default" w:ascii="Times New Roman" w:hAnsi="Times New Roman" w:eastAsia="Yu Mincho" w:cs="Times New Roman"/>
                <w:b/>
                <w:bCs/>
                <w:sz w:val="20"/>
                <w:szCs w:val="20"/>
                <w:highlight w:val="none"/>
              </w:rPr>
              <w:t xml:space="preserve"> filtering</w:t>
            </w:r>
          </w:p>
        </w:tc>
        <w:tc>
          <w:tcPr>
            <w:tcW w:w="3780" w:type="dxa"/>
          </w:tcPr>
          <w:p w14:paraId="577A18EF">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How to perform L1 filtering, e,g, the number of samples, whether sliding or non-sliding filtering in use, is up to UE implementation, and TE has no such information </w:t>
            </w:r>
          </w:p>
        </w:tc>
        <w:tc>
          <w:tcPr>
            <w:tcW w:w="3595" w:type="dxa"/>
          </w:tcPr>
          <w:p w14:paraId="593AA580">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jc w:val="center"/>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N/A</w:t>
            </w:r>
          </w:p>
        </w:tc>
      </w:tr>
      <w:tr w14:paraId="0D7E3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6BE13006">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
                <w:bCs/>
                <w:iCs/>
                <w:sz w:val="20"/>
                <w:szCs w:val="20"/>
                <w:vertAlign w:val="baseline"/>
                <w:lang w:val="en-US" w:eastAsia="zh-CN"/>
              </w:rPr>
            </w:pPr>
            <w:r>
              <w:rPr>
                <w:rFonts w:hint="eastAsia" w:ascii="Times New Roman" w:hAnsi="Times New Roman" w:eastAsia="等线" w:cs="Times New Roman"/>
                <w:b/>
                <w:bCs/>
                <w:iCs/>
                <w:sz w:val="20"/>
                <w:szCs w:val="20"/>
                <w:vertAlign w:val="baseline"/>
                <w:lang w:val="en-US" w:eastAsia="zh-CN"/>
              </w:rPr>
              <w:t>Timing window</w:t>
            </w:r>
          </w:p>
        </w:tc>
        <w:tc>
          <w:tcPr>
            <w:tcW w:w="3780" w:type="dxa"/>
          </w:tcPr>
          <w:p w14:paraId="63ED46FD">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jc w:val="center"/>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N/A</w:t>
            </w:r>
          </w:p>
        </w:tc>
        <w:tc>
          <w:tcPr>
            <w:tcW w:w="3595" w:type="dxa"/>
          </w:tcPr>
          <w:p w14:paraId="5D24D94E">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For Case B (target goal is to reduce measurement overhead), the time instance in prediction window will not be measured, which means UE cannot measure and report the ground truth.</w:t>
            </w:r>
          </w:p>
          <w:p w14:paraId="7AEEDB80">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drawing>
                <wp:inline distT="0" distB="0" distL="114300" distR="114300">
                  <wp:extent cx="1987550" cy="9144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1987550" cy="914400"/>
                          </a:xfrm>
                          <a:prstGeom prst="rect">
                            <a:avLst/>
                          </a:prstGeom>
                          <a:noFill/>
                          <a:ln>
                            <a:noFill/>
                          </a:ln>
                        </pic:spPr>
                      </pic:pic>
                    </a:graphicData>
                  </a:graphic>
                </wp:inline>
              </w:drawing>
            </w:r>
            <w:r>
              <w:rPr>
                <w:rFonts w:hint="eastAsia" w:ascii="Times New Roman" w:hAnsi="Times New Roman" w:eastAsia="等线" w:cs="Times New Roman"/>
                <w:bCs/>
                <w:iCs/>
                <w:sz w:val="20"/>
                <w:szCs w:val="20"/>
                <w:vertAlign w:val="baseline"/>
                <w:lang w:val="en-US" w:eastAsia="zh-CN"/>
              </w:rPr>
              <w:t xml:space="preserve"> </w:t>
            </w:r>
          </w:p>
        </w:tc>
      </w:tr>
      <w:tr w14:paraId="16BCA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64168865">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
                <w:bCs/>
                <w:iCs/>
                <w:sz w:val="20"/>
                <w:szCs w:val="20"/>
                <w:vertAlign w:val="baseline"/>
                <w:lang w:val="en-US" w:eastAsia="zh-CN"/>
              </w:rPr>
            </w:pPr>
            <w:r>
              <w:rPr>
                <w:rFonts w:hint="eastAsia" w:ascii="Times New Roman" w:hAnsi="Times New Roman" w:cs="Times New Roman"/>
                <w:b/>
                <w:bCs/>
                <w:sz w:val="20"/>
                <w:szCs w:val="20"/>
                <w:highlight w:val="none"/>
                <w:lang w:val="en-US" w:eastAsia="zh-CN"/>
              </w:rPr>
              <w:t>Channel condition</w:t>
            </w:r>
          </w:p>
        </w:tc>
        <w:tc>
          <w:tcPr>
            <w:tcW w:w="3780" w:type="dxa"/>
            <w:shd w:val="clear" w:color="auto" w:fill="auto"/>
            <w:vAlign w:val="top"/>
          </w:tcPr>
          <w:p w14:paraId="68342E3B">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firstLine="0" w:firstLineChars="0"/>
              <w:jc w:val="center"/>
              <w:textAlignment w:val="auto"/>
              <w:rPr>
                <w:rFonts w:hint="eastAsia" w:ascii="Times New Roman" w:hAnsi="Times New Roman" w:eastAsia="等线" w:cs="Times New Roman"/>
                <w:bCs/>
                <w:iCs/>
                <w:kern w:val="0"/>
                <w:sz w:val="20"/>
                <w:szCs w:val="20"/>
                <w:vertAlign w:val="baseline"/>
                <w:lang w:val="en-US" w:eastAsia="zh-CN" w:bidi="ar-SA"/>
              </w:rPr>
            </w:pPr>
            <w:r>
              <w:rPr>
                <w:rFonts w:hint="eastAsia" w:ascii="Times New Roman" w:hAnsi="Times New Roman" w:eastAsia="等线" w:cs="Times New Roman"/>
                <w:bCs/>
                <w:iCs/>
                <w:sz w:val="20"/>
                <w:szCs w:val="20"/>
                <w:vertAlign w:val="baseline"/>
                <w:lang w:val="en-US" w:eastAsia="zh-CN"/>
              </w:rPr>
              <w:t>N/A</w:t>
            </w:r>
          </w:p>
        </w:tc>
        <w:tc>
          <w:tcPr>
            <w:tcW w:w="3595" w:type="dxa"/>
          </w:tcPr>
          <w:p w14:paraId="4CD5B560">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For fading channel, the channel condition at T1 to get ground truth and the channel condition at T2 to predict is different, which result in mismatch </w:t>
            </w:r>
          </w:p>
        </w:tc>
      </w:tr>
      <w:tr w14:paraId="4D74A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4A093058">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
                <w:bCs/>
                <w:iCs/>
                <w:sz w:val="20"/>
                <w:szCs w:val="20"/>
                <w:vertAlign w:val="baseline"/>
                <w:lang w:val="en-US" w:eastAsia="zh-CN"/>
              </w:rPr>
            </w:pPr>
            <w:r>
              <w:rPr>
                <w:rFonts w:hint="eastAsia" w:ascii="Times New Roman" w:hAnsi="Times New Roman" w:eastAsia="等线" w:cs="Times New Roman"/>
                <w:b/>
                <w:bCs/>
                <w:iCs/>
                <w:sz w:val="20"/>
                <w:szCs w:val="20"/>
                <w:vertAlign w:val="baseline"/>
                <w:lang w:val="en-US" w:eastAsia="zh-CN"/>
              </w:rPr>
              <w:t>UE cheating issue</w:t>
            </w:r>
          </w:p>
        </w:tc>
        <w:tc>
          <w:tcPr>
            <w:tcW w:w="3780" w:type="dxa"/>
            <w:shd w:val="clear" w:color="auto" w:fill="auto"/>
            <w:vAlign w:val="top"/>
          </w:tcPr>
          <w:p w14:paraId="6C8307A9">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firstLine="0" w:firstLineChars="0"/>
              <w:jc w:val="center"/>
              <w:textAlignment w:val="auto"/>
              <w:rPr>
                <w:rFonts w:hint="eastAsia" w:ascii="Times New Roman" w:hAnsi="Times New Roman" w:eastAsia="等线" w:cs="Times New Roman"/>
                <w:bCs/>
                <w:iCs/>
                <w:kern w:val="0"/>
                <w:sz w:val="20"/>
                <w:szCs w:val="20"/>
                <w:vertAlign w:val="baseline"/>
                <w:lang w:val="en-US" w:eastAsia="zh-CN" w:bidi="ar-SA"/>
              </w:rPr>
            </w:pPr>
            <w:r>
              <w:rPr>
                <w:rFonts w:hint="eastAsia" w:ascii="Times New Roman" w:hAnsi="Times New Roman" w:eastAsia="等线" w:cs="Times New Roman"/>
                <w:bCs/>
                <w:iCs/>
                <w:sz w:val="20"/>
                <w:szCs w:val="20"/>
                <w:vertAlign w:val="baseline"/>
                <w:lang w:val="en-US" w:eastAsia="zh-CN"/>
              </w:rPr>
              <w:t>N/A</w:t>
            </w:r>
          </w:p>
        </w:tc>
        <w:tc>
          <w:tcPr>
            <w:tcW w:w="3595" w:type="dxa"/>
          </w:tcPr>
          <w:p w14:paraId="4F08D074">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Since both the ground truth and predicted value are reported by UE, there may be cheating issue</w:t>
            </w:r>
          </w:p>
        </w:tc>
      </w:tr>
    </w:tbl>
    <w:p w14:paraId="2DC460B0">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default" w:ascii="Times New Roman" w:hAnsi="Times New Roman" w:eastAsia="等线"/>
          <w:b/>
          <w:bCs w:val="0"/>
          <w:i/>
          <w:iCs w:val="0"/>
          <w:sz w:val="20"/>
          <w:szCs w:val="20"/>
          <w:lang w:val="en-US" w:eastAsia="zh-CN"/>
        </w:rPr>
      </w:pPr>
    </w:p>
    <w:p w14:paraId="1EAE72CE">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Proposal 4: for cluster approach, it is proposed to follow RAN2 agreements that model takes measurements from more than one cell as inputs.</w:t>
      </w:r>
    </w:p>
    <w:p w14:paraId="26B78F19">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it is proposed to discuss whether to introduce RAN4 requirements about MRRT and MRRS.</w:t>
      </w:r>
    </w:p>
    <w:p w14:paraId="15EBED2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for RRM measurement prediction, the measurement delay requirements need to be defined/updated</w:t>
      </w:r>
    </w:p>
    <w:p w14:paraId="114362D8">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intra-frequency temporal domain prediction, UE will skip some measurement occasions, which means that only subset of measurement occasions are measured, as a result, SMTC and/or MGRP cannot be directly used in the measurement delay requirements as legacy</w:t>
      </w:r>
    </w:p>
    <w:p w14:paraId="0ADB0409">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b/>
          <w:bCs w:val="0"/>
          <w:i/>
          <w:iCs w:val="0"/>
          <w:sz w:val="20"/>
          <w:szCs w:val="20"/>
          <w:lang w:val="en-US" w:eastAsia="zh-CN"/>
        </w:rPr>
        <w:t>For inter-frequency inter-cell frequency domain prediction, not all configured MOs need to be measuerd, which means that only the actually measured frequency layers are considered in the measurement delay requirements</w:t>
      </w:r>
    </w:p>
    <w:p w14:paraId="3EA1EA5B">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eastAsia" w:ascii="Times New Roman" w:hAnsi="Times New Roman"/>
          <w:sz w:val="20"/>
          <w:szCs w:val="20"/>
        </w:rPr>
      </w:pPr>
    </w:p>
    <w:p w14:paraId="5F08F1C5">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AA1F4B3">
      <w:pPr>
        <w:pStyle w:val="13"/>
        <w:framePr w:wrap="auto" w:vAnchor="margin" w:hAnchor="text" w:yAlign="inline"/>
        <w:numPr>
          <w:ilvl w:val="0"/>
          <w:numId w:val="10"/>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1464F227">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R4-2504901</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4D80BACE">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R4-2502594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03C37C82">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R4-2420095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738B2F24">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R4-2416855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720AFE6D">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3GPP TR 38.744</w:t>
      </w:r>
      <w:r>
        <w:rPr>
          <w:rFonts w:hint="eastAsia" w:ascii="Times" w:hAnsi="Times" w:eastAsia="宋体"/>
          <w:b w:val="0"/>
          <w:sz w:val="20"/>
          <w:lang w:val="en-US" w:eastAsia="zh-CN"/>
        </w:rPr>
        <w:t>, Study on Artificial Intelligence (AI)/Machine Learning (ML) for mobility in NR</w:t>
      </w:r>
    </w:p>
    <w:p w14:paraId="544A76EC">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70221EBB">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Report of 3GPP TSG RAN WG2 meeting #126</w:t>
      </w:r>
    </w:p>
    <w:p w14:paraId="49198761">
      <w:pPr>
        <w:pStyle w:val="13"/>
        <w:framePr w:wrap="auto" w:vAnchor="margin" w:hAnchor="text" w:yAlign="inline"/>
        <w:ind w:right="400"/>
        <w:jc w:val="both"/>
        <w:rPr>
          <w:rFonts w:ascii="Times" w:hAnsi="Times" w:eastAsia="宋体"/>
          <w:b w:val="0"/>
          <w:sz w:val="20"/>
          <w:lang w:eastAsia="zh-CN"/>
        </w:rPr>
      </w:pPr>
    </w:p>
    <w:p w14:paraId="49C24BC8">
      <w:pPr>
        <w:pStyle w:val="13"/>
        <w:framePr w:wrap="auto" w:vAnchor="margin" w:hAnchor="text" w:yAlign="inline"/>
        <w:ind w:right="400"/>
        <w:jc w:val="both"/>
        <w:rPr>
          <w:rFonts w:ascii="Times" w:hAnsi="Times" w:eastAsia="宋体"/>
          <w:b w:val="0"/>
          <w:sz w:val="20"/>
          <w:lang w:eastAsia="zh-CN"/>
        </w:rPr>
      </w:pPr>
    </w:p>
    <w:p w14:paraId="37201D62">
      <w:pPr>
        <w:pStyle w:val="13"/>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9BA9DC"/>
    <w:multiLevelType w:val="singleLevel"/>
    <w:tmpl w:val="8E9BA9DC"/>
    <w:lvl w:ilvl="0" w:tentative="0">
      <w:start w:val="1"/>
      <w:numFmt w:val="bullet"/>
      <w:lvlText w:val=""/>
      <w:lvlJc w:val="left"/>
      <w:pPr>
        <w:ind w:left="420" w:hanging="420"/>
      </w:pPr>
      <w:rPr>
        <w:rFonts w:hint="default" w:ascii="Wingdings" w:hAnsi="Wingdings"/>
      </w:rPr>
    </w:lvl>
  </w:abstractNum>
  <w:abstractNum w:abstractNumId="1">
    <w:nsid w:val="EA022515"/>
    <w:multiLevelType w:val="singleLevel"/>
    <w:tmpl w:val="EA022515"/>
    <w:lvl w:ilvl="0" w:tentative="0">
      <w:start w:val="1"/>
      <w:numFmt w:val="bullet"/>
      <w:lvlText w:val=""/>
      <w:lvlJc w:val="left"/>
      <w:pPr>
        <w:ind w:left="420" w:hanging="420"/>
      </w:pPr>
      <w:rPr>
        <w:rFonts w:hint="default" w:ascii="Wingdings" w:hAnsi="Wingdings"/>
      </w:rPr>
    </w:lvl>
  </w:abstractNum>
  <w:abstractNum w:abstractNumId="2">
    <w:nsid w:val="F6871401"/>
    <w:multiLevelType w:val="singleLevel"/>
    <w:tmpl w:val="F6871401"/>
    <w:lvl w:ilvl="0" w:tentative="0">
      <w:start w:val="1"/>
      <w:numFmt w:val="decimal"/>
      <w:suff w:val="space"/>
      <w:lvlText w:val="[%1]"/>
      <w:lvlJc w:val="left"/>
    </w:lvl>
  </w:abstractNum>
  <w:abstractNum w:abstractNumId="3">
    <w:nsid w:val="0A753BF9"/>
    <w:multiLevelType w:val="singleLevel"/>
    <w:tmpl w:val="0A753BF9"/>
    <w:lvl w:ilvl="0" w:tentative="0">
      <w:start w:val="1"/>
      <w:numFmt w:val="bullet"/>
      <w:lvlText w:val=""/>
      <w:lvlJc w:val="left"/>
      <w:pPr>
        <w:ind w:left="420" w:hanging="420"/>
      </w:pPr>
      <w:rPr>
        <w:rFonts w:hint="default" w:ascii="Wingdings" w:hAnsi="Wingdings"/>
      </w:rPr>
    </w:lvl>
  </w:abstractNum>
  <w:abstractNum w:abstractNumId="4">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2021533"/>
    <w:multiLevelType w:val="singleLevel"/>
    <w:tmpl w:val="62021533"/>
    <w:lvl w:ilvl="0" w:tentative="0">
      <w:start w:val="1"/>
      <w:numFmt w:val="bullet"/>
      <w:lvlText w:val=""/>
      <w:lvlJc w:val="left"/>
      <w:pPr>
        <w:ind w:left="420" w:hanging="42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E0566D6"/>
    <w:multiLevelType w:val="multilevel"/>
    <w:tmpl w:val="7E0566D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8"/>
  </w:num>
  <w:num w:numId="2">
    <w:abstractNumId w:val="5"/>
  </w:num>
  <w:num w:numId="3">
    <w:abstractNumId w:val="4"/>
  </w:num>
  <w:num w:numId="4">
    <w:abstractNumId w:val="6"/>
  </w:num>
  <w:num w:numId="5">
    <w:abstractNumId w:val="3"/>
  </w:num>
  <w:num w:numId="6">
    <w:abstractNumId w:val="9"/>
  </w:num>
  <w:num w:numId="7">
    <w:abstractNumId w:val="0"/>
  </w:num>
  <w:num w:numId="8">
    <w:abstractNumId w:val="1"/>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1EB2D5D"/>
    <w:rsid w:val="030F42DA"/>
    <w:rsid w:val="03237D85"/>
    <w:rsid w:val="039B37C7"/>
    <w:rsid w:val="03B64756"/>
    <w:rsid w:val="05581271"/>
    <w:rsid w:val="05E43E8D"/>
    <w:rsid w:val="064F27F6"/>
    <w:rsid w:val="07FB36A6"/>
    <w:rsid w:val="08320503"/>
    <w:rsid w:val="095F3199"/>
    <w:rsid w:val="0BDA3067"/>
    <w:rsid w:val="0D4032E2"/>
    <w:rsid w:val="103462C0"/>
    <w:rsid w:val="11144517"/>
    <w:rsid w:val="12096398"/>
    <w:rsid w:val="13BE2E36"/>
    <w:rsid w:val="13E54515"/>
    <w:rsid w:val="154B4C98"/>
    <w:rsid w:val="1589438A"/>
    <w:rsid w:val="17C90DC6"/>
    <w:rsid w:val="17E27FC0"/>
    <w:rsid w:val="187F1D4D"/>
    <w:rsid w:val="1B0C6C17"/>
    <w:rsid w:val="1C6D7577"/>
    <w:rsid w:val="1DE86925"/>
    <w:rsid w:val="1E262080"/>
    <w:rsid w:val="1EA13FCF"/>
    <w:rsid w:val="20A67B9D"/>
    <w:rsid w:val="21B75A90"/>
    <w:rsid w:val="21F229A5"/>
    <w:rsid w:val="226D7508"/>
    <w:rsid w:val="22F84732"/>
    <w:rsid w:val="25BF43FD"/>
    <w:rsid w:val="29521D5A"/>
    <w:rsid w:val="296A6325"/>
    <w:rsid w:val="29EA31D2"/>
    <w:rsid w:val="2A456A43"/>
    <w:rsid w:val="2A9C3DF6"/>
    <w:rsid w:val="2BCA2C0E"/>
    <w:rsid w:val="2DCC054E"/>
    <w:rsid w:val="2EFF4953"/>
    <w:rsid w:val="31B53264"/>
    <w:rsid w:val="32BC3287"/>
    <w:rsid w:val="34357F34"/>
    <w:rsid w:val="351D1843"/>
    <w:rsid w:val="3850290E"/>
    <w:rsid w:val="39A706A6"/>
    <w:rsid w:val="3AF811CC"/>
    <w:rsid w:val="3B3B31B7"/>
    <w:rsid w:val="3FF257A0"/>
    <w:rsid w:val="405B1795"/>
    <w:rsid w:val="41597CC1"/>
    <w:rsid w:val="41872D8F"/>
    <w:rsid w:val="43D91B27"/>
    <w:rsid w:val="44ED5522"/>
    <w:rsid w:val="45251780"/>
    <w:rsid w:val="45260A34"/>
    <w:rsid w:val="462406C5"/>
    <w:rsid w:val="46302433"/>
    <w:rsid w:val="46EB509D"/>
    <w:rsid w:val="47834097"/>
    <w:rsid w:val="486C7D0F"/>
    <w:rsid w:val="48BC1FC7"/>
    <w:rsid w:val="48BD345D"/>
    <w:rsid w:val="49507E2D"/>
    <w:rsid w:val="4AAA7A11"/>
    <w:rsid w:val="4CB30463"/>
    <w:rsid w:val="4F01352B"/>
    <w:rsid w:val="4F76756C"/>
    <w:rsid w:val="4F8C1C3F"/>
    <w:rsid w:val="50AC3D18"/>
    <w:rsid w:val="5140185C"/>
    <w:rsid w:val="521A547C"/>
    <w:rsid w:val="539B5A3F"/>
    <w:rsid w:val="561B4F52"/>
    <w:rsid w:val="56582839"/>
    <w:rsid w:val="56B72852"/>
    <w:rsid w:val="5798278D"/>
    <w:rsid w:val="5951002F"/>
    <w:rsid w:val="59A65848"/>
    <w:rsid w:val="5AAC5686"/>
    <w:rsid w:val="5C491F27"/>
    <w:rsid w:val="5CF63611"/>
    <w:rsid w:val="5D0E0ADD"/>
    <w:rsid w:val="5E176D14"/>
    <w:rsid w:val="5EF17565"/>
    <w:rsid w:val="606210AF"/>
    <w:rsid w:val="617674D6"/>
    <w:rsid w:val="61DF3A9F"/>
    <w:rsid w:val="676E7F3D"/>
    <w:rsid w:val="67A4673A"/>
    <w:rsid w:val="695006C3"/>
    <w:rsid w:val="69BB3005"/>
    <w:rsid w:val="6A9E35F8"/>
    <w:rsid w:val="6C642F64"/>
    <w:rsid w:val="6CD12293"/>
    <w:rsid w:val="71997D14"/>
    <w:rsid w:val="71A82806"/>
    <w:rsid w:val="73C17630"/>
    <w:rsid w:val="73F67ACD"/>
    <w:rsid w:val="75A5650E"/>
    <w:rsid w:val="764F12E9"/>
    <w:rsid w:val="76926517"/>
    <w:rsid w:val="774F4C00"/>
    <w:rsid w:val="77B91A3C"/>
    <w:rsid w:val="77F160D3"/>
    <w:rsid w:val="79670D3F"/>
    <w:rsid w:val="7AF91DFD"/>
    <w:rsid w:val="7B2C09D1"/>
    <w:rsid w:val="7C07400A"/>
    <w:rsid w:val="7D67744A"/>
    <w:rsid w:val="7D796C4C"/>
    <w:rsid w:val="7DB24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5">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3</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2025-05-09T08:34:01Z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